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3471B" w14:textId="77777777">
      <w:pPr>
        <w:spacing w:before="240" w:after="240"/>
        <w:jc w:val="center"/>
        <w:rPr>
          <w:rFonts w:ascii="Arial" w:hAnsi="Arial"/>
          <w:b/>
          <w:snapToGrid/>
          <w:sz w:val="22"/>
        </w:rPr>
        <w:pStyle w:val="P68B1DB1-Normal1"/>
      </w:pPr>
      <w:bookmarkStart w:id="0" w:name="_Toc347152238"/>
      <w:r>
        <w:t xml:space="preserve">Déclaration sur l'honneur du</w:t>
      </w:r>
      <w:r>
        <w:br/>
        <w:t xml:space="preserve">critères d’exclusion et critères de sélection </w:t>
      </w:r>
      <w:bookmarkStart w:id="1" w:name="_Hlk139979273"/>
      <w:r>
        <w:t xml:space="preserve">et sur l’absence de conflit d’intérêts</w:t>
      </w:r>
      <w:bookmarkEnd w:id="1"/>
    </w:p>
    <w:p w14:paraId="522BC494" w14:textId="77777777">
      <w:pPr>
        <w:spacing w:before="100" w:beforeAutospacing="1" w:after="100" w:afterAutospacing="1"/>
        <w:jc w:val="both"/>
        <w:rPr>
          <w:rFonts w:ascii="Arial" w:hAnsi="Arial"/>
          <w:snapToGrid/>
        </w:rPr>
        <w:pStyle w:val="P68B1DB1-Normal2"/>
      </w:pPr>
      <w:r>
        <w:t xml:space="preserve">Le soussigné [insérer</w:t>
      </w:r>
      <w:r>
        <w:rPr>
          <w:i/>
          <w:highlight w:val="lightGray"/>
        </w:rPr>
        <w:t xml:space="preserve">le nom du signataire du présent formulaire],</w:t>
      </w:r>
      <w:r>
        <w:t>représentant: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14:paraId="24F4F83F" w14:textId="77777777">
        <w:tc>
          <w:tcPr>
            <w:tcW w:w="3369" w:type="dxa"/>
            <w:shd w:val="clear" w:color="auto" w:fill="auto"/>
          </w:tcPr>
          <w:p w14:paraId="74213F93" w14:textId="77777777">
            <w:pPr>
              <w:jc w:val="both"/>
              <w:rPr>
                <w:rFonts w:ascii="Arial" w:hAnsi="Arial"/>
                <w:snapToGrid/>
              </w:rPr>
              <w:pStyle w:val="P68B1DB1-Normal2"/>
            </w:pPr>
            <w:r>
              <w:t>(uniquement</w:t>
            </w:r>
            <w:r>
              <w:rPr>
                <w:i/>
              </w:rPr>
              <w:t xml:space="preserve">pour les personnes physiques</w:t>
            </w:r>
            <w:r>
              <w:t xml:space="preserve">) elle-même</w:t>
            </w:r>
          </w:p>
        </w:tc>
        <w:tc>
          <w:tcPr>
            <w:tcW w:w="6378" w:type="dxa"/>
            <w:shd w:val="clear" w:color="auto" w:fill="auto"/>
          </w:tcPr>
          <w:p w14:paraId="3A90D420" w14:textId="77777777">
            <w:pPr>
              <w:jc w:val="both"/>
              <w:rPr>
                <w:rFonts w:ascii="Arial" w:hAnsi="Arial"/>
                <w:snapToGrid/>
              </w:rPr>
              <w:pStyle w:val="P68B1DB1-Normal2"/>
            </w:pPr>
            <w:r>
              <w:t>(uniquement</w:t>
            </w:r>
            <w:r>
              <w:rPr>
                <w:i/>
              </w:rPr>
              <w:t xml:space="preserve">pour les personnes morales</w:t>
            </w:r>
            <w:r>
              <w:t xml:space="preserve">) la personne morale suivante: </w:t>
            </w:r>
          </w:p>
          <w:p w14:paraId="6126B4DA" w14:textId="77777777">
            <w:pPr>
              <w:jc w:val="both"/>
              <w:rPr>
                <w:rFonts w:ascii="Arial" w:hAnsi="Arial"/>
                <w:snapToGrid/>
              </w:rPr>
            </w:pPr>
          </w:p>
        </w:tc>
      </w:tr>
      <w:tr w14:paraId="18042B25" w14:textId="77777777">
        <w:tc>
          <w:tcPr>
            <w:tcW w:w="3369" w:type="dxa"/>
            <w:shd w:val="clear" w:color="auto" w:fill="auto"/>
          </w:tcPr>
          <w:p w14:paraId="64E455B0" w14:textId="77777777">
            <w:pPr>
              <w:jc w:val="both"/>
              <w:rPr>
                <w:rFonts w:ascii="Arial" w:hAnsi="Arial"/>
                <w:snapToGrid/>
              </w:rPr>
              <w:pStyle w:val="P68B1DB1-Normal2"/>
            </w:pPr>
            <w:r>
              <w:t xml:space="preserve">Numéro de carte d'identité ou de passeport: </w:t>
            </w:r>
          </w:p>
          <w:p w14:paraId="26B821BF" w14:textId="77777777">
            <w:pPr>
              <w:jc w:val="both"/>
              <w:rPr>
                <w:rFonts w:ascii="Arial" w:hAnsi="Arial"/>
                <w:snapToGrid/>
              </w:rPr>
            </w:pPr>
          </w:p>
          <w:p w14:paraId="00F369F1" w14:textId="77777777">
            <w:pPr>
              <w:jc w:val="both"/>
              <w:rPr>
                <w:rFonts w:ascii="Arial" w:hAnsi="Arial"/>
                <w:snapToGrid/>
              </w:rPr>
              <w:pStyle w:val="P68B1DB1-Normal2"/>
            </w:pPr>
            <w:r>
              <w:t xml:space="preserve">(ci-après l’«opérateur économique»)</w:t>
            </w:r>
          </w:p>
        </w:tc>
        <w:tc>
          <w:tcPr>
            <w:tcW w:w="6378" w:type="dxa"/>
            <w:shd w:val="clear" w:color="auto" w:fill="auto"/>
          </w:tcPr>
          <w:p w14:paraId="1533F5F4" w14:textId="77777777">
            <w:pPr>
              <w:rPr>
                <w:rFonts w:ascii="Arial" w:hAnsi="Arial"/>
                <w:b/>
                <w:snapToGrid/>
              </w:rPr>
              <w:pStyle w:val="P68B1DB1-Normal2"/>
            </w:pPr>
            <w:r>
              <w:t xml:space="preserve">Nom officiel complet:</w:t>
            </w:r>
          </w:p>
          <w:p w14:paraId="056F5C59" w14:textId="77777777">
            <w:pPr>
              <w:rPr>
                <w:rFonts w:ascii="Arial" w:hAnsi="Arial"/>
                <w:snapToGrid/>
              </w:rPr>
              <w:pStyle w:val="P68B1DB1-Normal2"/>
            </w:pPr>
            <w:r>
              <w:t xml:space="preserve">Forme juridique officielle: </w:t>
            </w:r>
          </w:p>
          <w:p w14:paraId="1C3684FC" w14:textId="77777777">
            <w:pPr>
              <w:rPr>
                <w:rFonts w:ascii="Arial" w:hAnsi="Arial"/>
                <w:b/>
                <w:snapToGrid/>
              </w:rPr>
              <w:pStyle w:val="P68B1DB1-Normal2"/>
            </w:pPr>
            <w:r>
              <w:t xml:space="preserve">Numéro d'enregistrement légal:</w:t>
            </w:r>
            <w:r>
              <w:rPr>
                <w:b/>
              </w:rPr>
              <w:t xml:space="preserve"> </w:t>
            </w:r>
          </w:p>
          <w:p w14:paraId="72986DAE" w14:textId="77777777">
            <w:pPr>
              <w:rPr>
                <w:rFonts w:ascii="Arial" w:hAnsi="Arial"/>
                <w:b/>
                <w:snapToGrid/>
              </w:rPr>
              <w:pStyle w:val="P68B1DB1-Normal2"/>
            </w:pPr>
            <w:r>
              <w:t xml:space="preserve">Adresse officielle complète: </w:t>
            </w:r>
          </w:p>
          <w:p w14:paraId="5CB4A242" w14:textId="77777777">
            <w:pPr>
              <w:rPr>
                <w:rFonts w:ascii="Arial" w:hAnsi="Arial"/>
                <w:snapToGrid/>
              </w:rPr>
              <w:pStyle w:val="P68B1DB1-Normal2"/>
            </w:pPr>
            <w:r>
              <w:t xml:space="preserve">Numéro d'immatriculation à la TVA: </w:t>
            </w:r>
          </w:p>
          <w:p w14:paraId="18C1B1BE" w14:textId="77777777">
            <w:pPr>
              <w:rPr>
                <w:rFonts w:ascii="Arial" w:hAnsi="Arial"/>
                <w:snapToGrid/>
              </w:rPr>
            </w:pPr>
          </w:p>
          <w:p w14:paraId="59CC91DA" w14:textId="77777777">
            <w:pPr>
              <w:rPr>
                <w:rFonts w:ascii="Arial" w:hAnsi="Arial"/>
                <w:snapToGrid/>
              </w:rPr>
              <w:pStyle w:val="P68B1DB1-Normal2"/>
            </w:pPr>
            <w:r>
              <w:t xml:space="preserve">(ci-après l’«opérateur économique»)</w:t>
            </w:r>
          </w:p>
        </w:tc>
      </w:tr>
    </w:tbl>
    <w:p w14:paraId="72F7E0D6" w14:textId="77777777">
      <w:pPr>
        <w:spacing w:before="240" w:after="60"/>
        <w:jc w:val="center"/>
        <w:outlineLvl w:val="0"/>
        <w:rPr>
          <w:rFonts w:ascii="Arial" w:hAnsi="Arial" w:cs="Arial"/>
          <w:b/>
          <w:snapToGrid/>
          <w:kern w:val="28"/>
        </w:rPr>
        <w:pStyle w:val="P68B1DB1-Normal3"/>
      </w:pPr>
      <w:r>
        <w:t xml:space="preserve">I – Situations d’exclusion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14:paraId="62A141D5" w14:textId="77777777">
        <w:trPr>
          <w:trHeight w:val="477"/>
        </w:trPr>
        <w:tc>
          <w:tcPr>
            <w:tcW w:w="8258" w:type="dxa"/>
            <w:shd w:val="clear" w:color="auto" w:fill="auto"/>
          </w:tcPr>
          <w:p w14:paraId="2A796D00" w14:textId="77777777">
            <w:pPr>
              <w:spacing w:before="40" w:after="40"/>
              <w:jc w:val="both"/>
              <w:rPr>
                <w:rFonts w:ascii="Arial" w:hAnsi="Arial"/>
                <w:snapToGrid/>
              </w:rPr>
              <w:pStyle w:val="P68B1DB1-Normal2"/>
            </w:pPr>
            <w:r>
              <w:t xml:space="preserve">déclare que:</w:t>
            </w:r>
          </w:p>
        </w:tc>
        <w:tc>
          <w:tcPr>
            <w:tcW w:w="801" w:type="dxa"/>
            <w:shd w:val="clear" w:color="auto" w:fill="auto"/>
          </w:tcPr>
          <w:p w14:paraId="0F576B33" w14:textId="77777777">
            <w:pPr>
              <w:spacing w:before="40" w:after="40"/>
              <w:ind w:left="142"/>
              <w:jc w:val="both"/>
              <w:rPr>
                <w:rFonts w:ascii="Arial" w:hAnsi="Arial"/>
                <w:snapToGrid/>
              </w:rPr>
              <w:pStyle w:val="P68B1DB1-Normal2"/>
            </w:pPr>
            <w:r>
              <w:t>OUI</w:t>
            </w:r>
          </w:p>
        </w:tc>
        <w:tc>
          <w:tcPr>
            <w:tcW w:w="696" w:type="dxa"/>
            <w:shd w:val="clear" w:color="auto" w:fill="auto"/>
          </w:tcPr>
          <w:p w14:paraId="27B840F8" w14:textId="77777777">
            <w:pPr>
              <w:spacing w:before="40" w:after="40"/>
              <w:ind w:left="142"/>
              <w:jc w:val="both"/>
              <w:rPr>
                <w:rFonts w:ascii="Arial" w:hAnsi="Arial"/>
                <w:snapToGrid/>
              </w:rPr>
              <w:pStyle w:val="P68B1DB1-Normal2"/>
            </w:pPr>
            <w:r>
              <w:t>NON</w:t>
            </w:r>
          </w:p>
        </w:tc>
      </w:tr>
      <w:tr w14:paraId="2037C197" w14:textId="77777777">
        <w:tc>
          <w:tcPr>
            <w:tcW w:w="9755" w:type="dxa"/>
            <w:gridSpan w:val="3"/>
            <w:shd w:val="clear" w:color="auto" w:fill="auto"/>
          </w:tcPr>
          <w:p w14:paraId="5F677D1E" w14:textId="77777777">
            <w:pPr>
              <w:numPr>
                <w:ilvl w:val="0"/>
                <w:numId w:val="4"/>
              </w:numPr>
              <w:spacing w:before="40" w:after="40"/>
              <w:ind w:left="0" w:firstLine="0"/>
              <w:jc w:val="both"/>
              <w:rPr>
                <w:rFonts w:ascii="Arial" w:hAnsi="Arial"/>
                <w:b/>
                <w:snapToGrid/>
                <w:highlight w:val="lightGray"/>
              </w:rPr>
              <w:pStyle w:val="P68B1DB1-Normal4"/>
            </w:pPr>
            <w:r>
              <w:rPr>
                <w:rFonts w:ascii="Arial" w:hAnsi="Arial"/>
              </w:rPr>
              <w:t xml:space="preserve">Motifs relatifs aux condamnations pénales (article 57, paragraphe 1, de</w:t>
            </w:r>
            <w:r>
              <w:rPr>
                <w:rFonts w:ascii="Book Antiqua" w:hAnsi="Book Antiqua"/>
                <w:sz w:val="22"/>
              </w:rPr>
              <w:t xml:space="preserve"> </w:t>
            </w:r>
            <w:r>
              <w:rPr>
                <w:rFonts w:ascii="Arial" w:hAnsi="Arial"/>
              </w:rPr>
              <w:t xml:space="preserve">la directive 2014/24/UE)</w:t>
            </w:r>
          </w:p>
        </w:tc>
      </w:tr>
      <w:tr w14:paraId="3DEA972A" w14:textId="77777777">
        <w:tc>
          <w:tcPr>
            <w:tcW w:w="8258" w:type="dxa"/>
            <w:shd w:val="clear" w:color="auto" w:fill="auto"/>
          </w:tcPr>
          <w:p w14:paraId="160A8198" w14:textId="77777777">
            <w:pPr>
              <w:numPr>
                <w:ilvl w:val="0"/>
                <w:numId w:val="1"/>
              </w:numPr>
              <w:spacing w:before="40" w:after="40"/>
              <w:jc w:val="both"/>
              <w:rPr>
                <w:rFonts w:ascii="Arial" w:hAnsi="Arial"/>
                <w:b/>
                <w:snapToGrid/>
              </w:rPr>
              <w:pStyle w:val="P68B1DB1-Normal5"/>
            </w:pPr>
            <w:r>
              <w:t xml:space="preserve">Participation à une organisation criminelle </w:t>
            </w:r>
          </w:p>
          <w:p w14:paraId="2C1A5F7D"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participation à une organisation criminelle? Telle que définie à l’article 2 de la décision-cadre 2008/841/JAI du Conseil du 24 octobre 2008 relative à la lutte contre la criminalité organisée (JO L 300 du 11.11.2008, p. 42). </w:t>
            </w:r>
          </w:p>
        </w:tc>
        <w:tc>
          <w:tcPr>
            <w:tcW w:w="801" w:type="dxa"/>
            <w:shd w:val="clear" w:color="auto" w:fill="auto"/>
          </w:tcPr>
          <w:p w14:paraId="0ACE0BE4" w14:textId="77777777">
            <w:pPr>
              <w:spacing w:before="240" w:after="120"/>
              <w:jc w:val="both"/>
              <w:rPr>
                <w:rFonts w:ascii="Arial" w:hAnsi="Arial"/>
                <w:snapToGrid/>
              </w:rPr>
              <w:pStyle w:val="P68B1DB1-Normal2"/>
            </w:pPr>
            <w:r>
              <w:fldChar w:fldCharType="begin">
                <w:ffData>
                  <w:name w:val=""/>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1DAAD64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1C64A20" w14:textId="77777777">
        <w:tc>
          <w:tcPr>
            <w:tcW w:w="8258" w:type="dxa"/>
            <w:shd w:val="clear" w:color="auto" w:fill="auto"/>
          </w:tcPr>
          <w:p w14:paraId="6BB60364" w14:textId="77777777">
            <w:pPr>
              <w:numPr>
                <w:ilvl w:val="0"/>
                <w:numId w:val="1"/>
              </w:numPr>
              <w:spacing w:before="40" w:after="40"/>
              <w:jc w:val="both"/>
              <w:rPr>
                <w:rFonts w:ascii="Arial" w:hAnsi="Arial"/>
                <w:b/>
                <w:snapToGrid/>
              </w:rPr>
              <w:pStyle w:val="P68B1DB1-Normal5"/>
            </w:pPr>
            <w:r>
              <w:t xml:space="preserve">Corruption  </w:t>
            </w:r>
          </w:p>
          <w:p w14:paraId="40AD0B10"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corruption? Telles que définies à l'article 3 de la convention relative à la lutte contre la corruption impliquant des fonctionnaires des Communautés européennes ou des fonctionnaires des États membres de l'Union européenne (JO C 195 du 25.6.1997, p. 1) et à l'article 2, paragraphe 1, de la décision-cadre 2003/568/JAI du Conseil du 22 juillet 2003 relative à la lutte contre la corruption dans le secteur privé (JO L 192 du 31.7.2003, p. 54). Ce motif d’exclusion inclut également la corruption telle que définie dans le droit national du pouvoir adjudicateur (entité adjudicatrice) ou de l’opérateur économique.</w:t>
            </w:r>
          </w:p>
        </w:tc>
        <w:tc>
          <w:tcPr>
            <w:tcW w:w="801" w:type="dxa"/>
            <w:shd w:val="clear" w:color="auto" w:fill="auto"/>
          </w:tcPr>
          <w:p w14:paraId="498E48D7" w14:textId="77777777">
            <w:pPr>
              <w:spacing w:before="240" w:after="120"/>
              <w:jc w:val="both"/>
              <w:rPr>
                <w:rFonts w:ascii="Arial" w:hAnsi="Arial"/>
                <w:snapToGrid/>
              </w:rPr>
              <w:pStyle w:val="P68B1DB1-Normal2"/>
            </w:pPr>
            <w:r>
              <w:fldChar w:fldCharType="begin">
                <w:ffData>
                  <w:name w:val=""/>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28D4CC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1658F04" w14:textId="77777777">
        <w:tc>
          <w:tcPr>
            <w:tcW w:w="8258" w:type="dxa"/>
            <w:shd w:val="clear" w:color="auto" w:fill="auto"/>
          </w:tcPr>
          <w:p w14:paraId="1F168884" w14:textId="77777777">
            <w:pPr>
              <w:numPr>
                <w:ilvl w:val="0"/>
                <w:numId w:val="1"/>
              </w:numPr>
              <w:spacing w:before="40" w:after="40"/>
              <w:jc w:val="both"/>
              <w:rPr>
                <w:rFonts w:ascii="Arial" w:hAnsi="Arial"/>
                <w:b/>
                <w:snapToGrid/>
              </w:rPr>
              <w:pStyle w:val="P68B1DB1-Normal5"/>
            </w:pPr>
            <w:r>
              <w:t xml:space="preserve">Fraude  </w:t>
            </w:r>
          </w:p>
          <w:p w14:paraId="3E7FF018" w14:textId="77777777">
            <w:pPr>
              <w:spacing w:before="40" w:after="40"/>
              <w:jc w:val="both"/>
              <w:rPr>
                <w:rFonts w:ascii="Arial" w:hAnsi="Arial"/>
                <w:snapToGrid/>
              </w:rPr>
              <w:pStyle w:val="P68B1DB1-Normal2"/>
            </w:pPr>
            <w:r>
              <w:t xml:space="preserve">L’opérateur économique lui-même ou toute personne qui est membre de son organe d’administration, de direction ou de surveillance ou qui y dispose de pouvoirs de représentation, de décision ou de contrôle a-t-il fait l’objet d’une condamnation définitive pour fraude? Au sens de l'article 1er de la convention relative à la protection des intérêts financiers des Communautés européennes (JO C 316 du 27.11.1995, p. 48).</w:t>
            </w:r>
          </w:p>
        </w:tc>
        <w:tc>
          <w:tcPr>
            <w:tcW w:w="801" w:type="dxa"/>
            <w:shd w:val="clear" w:color="auto" w:fill="auto"/>
          </w:tcPr>
          <w:p w14:paraId="4D2A8EC7"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4B43BC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239307AE" w14:textId="77777777">
        <w:tc>
          <w:tcPr>
            <w:tcW w:w="8258" w:type="dxa"/>
            <w:shd w:val="clear" w:color="auto" w:fill="auto"/>
          </w:tcPr>
          <w:p w14:paraId="702C6AEF" w14:textId="77777777">
            <w:pPr>
              <w:numPr>
                <w:ilvl w:val="0"/>
                <w:numId w:val="1"/>
              </w:numPr>
              <w:spacing w:before="40" w:after="40"/>
              <w:jc w:val="both"/>
              <w:rPr>
                <w:rFonts w:ascii="Arial" w:hAnsi="Arial"/>
                <w:b/>
                <w:snapToGrid/>
              </w:rPr>
              <w:pStyle w:val="P68B1DB1-Normal5"/>
            </w:pPr>
            <w:r>
              <w:t xml:space="preserve">Infractions terroristes ou infractions liées à des activités terroristes  </w:t>
            </w:r>
          </w:p>
          <w:p w14:paraId="730F54E6" w14:textId="77777777">
            <w:pPr>
              <w:spacing w:before="40" w:after="40"/>
              <w:jc w:val="both"/>
              <w:rPr>
                <w:rFonts w:ascii="Arial" w:hAnsi="Arial"/>
                <w:snapToGrid/>
              </w:rPr>
              <w:pStyle w:val="P68B1DB1-Normal2"/>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des infractions terroristes ou des infractions liées à des activités terroristes? Telles que définies aux articles 1er et 3 de la décision-cadre du Conseil du 13 juin 2002 relative à la lutte contre le terrorisme (JO L 164 du 22.6.2002, p. 3). Ce motif d’exclusion comprend également l’incitation à commettre une infraction ou la complicité ou la tentative de commettre une infraction, au sens de l’article 4 de ladite décision-cadre.</w:t>
            </w:r>
          </w:p>
        </w:tc>
        <w:tc>
          <w:tcPr>
            <w:tcW w:w="801" w:type="dxa"/>
            <w:shd w:val="clear" w:color="auto" w:fill="auto"/>
          </w:tcPr>
          <w:p w14:paraId="2E38E1F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7423FB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B54F4CC" w14:textId="77777777">
        <w:tc>
          <w:tcPr>
            <w:tcW w:w="8258" w:type="dxa"/>
            <w:shd w:val="clear" w:color="auto" w:fill="auto"/>
          </w:tcPr>
          <w:p w14:paraId="5A9A5A87" w14:textId="77777777">
            <w:pPr>
              <w:numPr>
                <w:ilvl w:val="0"/>
                <w:numId w:val="1"/>
              </w:numPr>
              <w:spacing w:before="40" w:after="40"/>
              <w:jc w:val="both"/>
              <w:rPr>
                <w:rFonts w:ascii="Arial" w:hAnsi="Arial"/>
                <w:b/>
                <w:snapToGrid/>
                <w:color w:val="000000"/>
              </w:rPr>
              <w:pStyle w:val="P68B1DB1-Normal6"/>
            </w:pPr>
            <w:r>
              <w:t xml:space="preserve">Blanchiment de capitaux ou financement du terrorisme  </w:t>
            </w:r>
          </w:p>
          <w:p w14:paraId="6E8FCF59" w14:textId="77777777">
            <w:pPr>
              <w:spacing w:before="40" w:after="40"/>
              <w:jc w:val="both"/>
              <w:rPr>
                <w:rFonts w:ascii="Arial" w:hAnsi="Arial"/>
                <w:snapToGrid/>
              </w:rPr>
              <w:pStyle w:val="P68B1DB1-Normal7"/>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blanchiment de capitaux ou financement du terrorisme? Telles que définies à l’article 1er, paragraphes 3, 4 et 5, de la directive (UE) 2015/849 du Parlement européen et du Conseil du 20 mai 2015 relative à la prévention de l’utilisation du système financier aux fins du blanchiment de capitaux ou du financement du terrorisme, modifiant le règlement (UE) no 648/2012 du Parlement européen et du Conseil et abrogeant la directive 2005/60/CE du Parlement européen et du Conseil et la directive 2006/70/CE de la Commission (Texte présentant de l’intérêt pour l’EEE)</w:t>
            </w:r>
          </w:p>
        </w:tc>
        <w:tc>
          <w:tcPr>
            <w:tcW w:w="801" w:type="dxa"/>
            <w:shd w:val="clear" w:color="auto" w:fill="auto"/>
          </w:tcPr>
          <w:p w14:paraId="1E126F2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43F4C0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4EDB7DF" w14:textId="77777777">
        <w:tc>
          <w:tcPr>
            <w:tcW w:w="8258" w:type="dxa"/>
            <w:shd w:val="clear" w:color="auto" w:fill="auto"/>
          </w:tcPr>
          <w:p w14:paraId="154015CC" w14:textId="77777777">
            <w:pPr>
              <w:numPr>
                <w:ilvl w:val="0"/>
                <w:numId w:val="1"/>
              </w:numPr>
              <w:spacing w:before="40" w:after="40"/>
              <w:jc w:val="both"/>
              <w:rPr>
                <w:rFonts w:ascii="Arial" w:hAnsi="Arial"/>
                <w:b/>
                <w:snapToGrid/>
                <w:color w:val="000000"/>
              </w:rPr>
              <w:pStyle w:val="P68B1DB1-Normal6"/>
            </w:pPr>
            <w:r>
              <w:t xml:space="preserve">Travail des enfants et autres formes de traite des êtres humains  </w:t>
            </w:r>
          </w:p>
          <w:p w14:paraId="5690E4DC" w14:textId="77777777">
            <w:pPr>
              <w:spacing w:before="40" w:after="40"/>
              <w:jc w:val="both"/>
              <w:rPr>
                <w:rFonts w:ascii="Arial" w:hAnsi="Arial"/>
                <w:snapToGrid/>
                <w:color w:val="000000"/>
              </w:rPr>
              <w:pStyle w:val="P68B1DB1-Normal7"/>
            </w:pPr>
            <w:r>
              <w:t xml:space="preserve">L’opérateur économique lui-même ou toute personne qui est membre de son organe d’administration, de gestion ou de surveillance ou qui y dispose de pouvoirs de représentation, de décision ou de contrôle a-t-il fait l’objet d’une condamnation définitive pour travail des enfants et autres formes de traite des êtres humains? Telles que définies à l’article 2 de la directive 2011/36/UE du Parlement européen et du Conseil du 5 avril 2011 concernant la prévention de la traite des êtres humains et la lutte contre ce phénomène ainsi que la protection des victimes et remplaçant la décision-cadre 2002/629/JAI du Conseil (JO L 101 du 15.4.2011, p. 1).  </w:t>
            </w:r>
          </w:p>
        </w:tc>
        <w:tc>
          <w:tcPr>
            <w:tcW w:w="801" w:type="dxa"/>
            <w:shd w:val="clear" w:color="auto" w:fill="auto"/>
          </w:tcPr>
          <w:p w14:paraId="0FA8BD24"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76CD32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99B9306" w14:textId="77777777">
        <w:trPr>
          <w:trHeight w:val="641"/>
        </w:trPr>
        <w:tc>
          <w:tcPr>
            <w:tcW w:w="9755" w:type="dxa"/>
            <w:gridSpan w:val="3"/>
            <w:shd w:val="clear" w:color="auto" w:fill="auto"/>
          </w:tcPr>
          <w:p w14:paraId="2EB38FAC" w14:textId="77777777">
            <w:pPr>
              <w:numPr>
                <w:ilvl w:val="0"/>
                <w:numId w:val="4"/>
              </w:numPr>
              <w:spacing w:before="240" w:after="120"/>
              <w:ind w:left="0" w:firstLine="0"/>
              <w:jc w:val="both"/>
              <w:rPr>
                <w:rFonts w:ascii="Arial" w:hAnsi="Arial"/>
                <w:b/>
                <w:snapToGrid/>
                <w:highlight w:val="lightGray"/>
              </w:rPr>
              <w:pStyle w:val="P68B1DB1-Normal8"/>
            </w:pPr>
            <w:r>
              <w:t xml:space="preserve">Motifs relatifs au paiement des impôts ou des cotisations de sécurité sociale (article 57, paragraphe 2, de la directive 2014/24/UE)</w:t>
            </w:r>
          </w:p>
        </w:tc>
      </w:tr>
      <w:tr w14:paraId="06654139" w14:textId="77777777">
        <w:trPr>
          <w:trHeight w:val="652"/>
        </w:trPr>
        <w:tc>
          <w:tcPr>
            <w:tcW w:w="8258" w:type="dxa"/>
            <w:shd w:val="clear" w:color="auto" w:fill="auto"/>
          </w:tcPr>
          <w:p w14:paraId="20642958" w14:textId="77777777">
            <w:pPr>
              <w:numPr>
                <w:ilvl w:val="0"/>
                <w:numId w:val="5"/>
              </w:numPr>
              <w:spacing w:before="40" w:after="40"/>
              <w:ind w:left="311" w:hanging="311"/>
              <w:jc w:val="both"/>
              <w:rPr>
                <w:rFonts w:ascii="Arial" w:hAnsi="Arial"/>
                <w:b/>
                <w:snapToGrid/>
                <w:color w:val="000000"/>
              </w:rPr>
              <w:pStyle w:val="P68B1DB1-Normal6"/>
            </w:pPr>
            <w:r>
              <w:t xml:space="preserve">Paiement des taxes  </w:t>
            </w:r>
          </w:p>
          <w:p w14:paraId="3D92D87B" w14:textId="77777777">
            <w:pPr>
              <w:spacing w:before="40" w:after="40"/>
              <w:ind w:left="27"/>
              <w:jc w:val="both"/>
              <w:rPr>
                <w:rFonts w:ascii="Arial" w:hAnsi="Arial"/>
                <w:snapToGrid/>
                <w:color w:val="000000"/>
              </w:rPr>
              <w:pStyle w:val="P68B1DB1-Normal7"/>
            </w:pPr>
            <w:r>
              <w:t xml:space="preserve">L’opérateur économique a-t-il manqué à ses obligations en matière de paiement des impôts et cette violation a-t-elle été constatée par une décision judiciaire ou administrative ayant un effet définitif et contraignant conformément aux dispositions légales du pays où il est établi ou à celles de l’État membre du pouvoir adjudicateur? </w:t>
            </w:r>
          </w:p>
        </w:tc>
        <w:tc>
          <w:tcPr>
            <w:tcW w:w="801" w:type="dxa"/>
            <w:shd w:val="clear" w:color="auto" w:fill="auto"/>
          </w:tcPr>
          <w:p w14:paraId="4587B36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01FA9CF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4CBC343" w14:textId="77777777">
        <w:tc>
          <w:tcPr>
            <w:tcW w:w="8258" w:type="dxa"/>
            <w:shd w:val="clear" w:color="auto" w:fill="auto"/>
          </w:tcPr>
          <w:p w14:paraId="7583DABC" w14:textId="77777777">
            <w:pPr>
              <w:numPr>
                <w:ilvl w:val="0"/>
                <w:numId w:val="5"/>
              </w:numPr>
              <w:spacing w:before="40" w:after="40"/>
              <w:ind w:left="313" w:hanging="313"/>
              <w:jc w:val="both"/>
              <w:rPr>
                <w:rFonts w:ascii="Arial" w:hAnsi="Arial"/>
                <w:b/>
                <w:snapToGrid/>
                <w:color w:val="000000"/>
              </w:rPr>
              <w:pStyle w:val="P68B1DB1-Normal6"/>
            </w:pPr>
            <w:r>
              <w:t xml:space="preserve">Paiement de la sécurité sociale  </w:t>
            </w:r>
          </w:p>
          <w:p w14:paraId="5E6B4384" w14:textId="77777777">
            <w:pPr>
              <w:spacing w:before="40" w:after="40"/>
              <w:jc w:val="both"/>
              <w:rPr>
                <w:rFonts w:ascii="Arial" w:hAnsi="Arial"/>
                <w:snapToGrid/>
                <w:color w:val="000000"/>
              </w:rPr>
              <w:pStyle w:val="P68B1DB1-Normal7"/>
            </w:pPr>
            <w:r>
              <w:t xml:space="preserve">L’opérateur économique a-t-il manqué à ses obligations relatives au paiement des cotisations de sécurité sociale et ce manquement a-t-il été constaté par une décision judiciaire ou administrative ayant un effet définitif et contraignant conformément aux dispositions légales du pays où il est établi ou à celles de l’État membre du pouvoir adjudicateur?</w:t>
            </w:r>
            <w:r>
              <w:rPr>
                <w:b/>
                <w:i/>
              </w:rPr>
              <w:t xml:space="preserve"> </w:t>
            </w:r>
          </w:p>
        </w:tc>
        <w:tc>
          <w:tcPr>
            <w:tcW w:w="801" w:type="dxa"/>
            <w:shd w:val="clear" w:color="auto" w:fill="auto"/>
          </w:tcPr>
          <w:p w14:paraId="5409F8CB"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1D9A556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672196E" w14:textId="77777777">
        <w:tc>
          <w:tcPr>
            <w:tcW w:w="9755" w:type="dxa"/>
            <w:gridSpan w:val="3"/>
            <w:shd w:val="clear" w:color="auto" w:fill="auto"/>
          </w:tcPr>
          <w:p w14:paraId="580EAF90" w14:textId="77777777">
            <w:pPr>
              <w:numPr>
                <w:ilvl w:val="0"/>
                <w:numId w:val="4"/>
              </w:numPr>
              <w:spacing w:before="240" w:after="120"/>
              <w:ind w:left="0" w:firstLine="0"/>
              <w:jc w:val="both"/>
              <w:rPr>
                <w:rFonts w:ascii="Arial" w:hAnsi="Arial" w:cs="Arial"/>
                <w:b/>
                <w:snapToGrid/>
              </w:rPr>
              <w:pStyle w:val="P68B1DB1-Normal9"/>
            </w:pPr>
            <w:r>
              <w:t xml:space="preserve">Motifs liés à l’insolvabilité, aux conflits d’intérêts ou à la faute professionnelle (article 57, paragraphe 4, de la directive 2014/24/UE)</w:t>
            </w:r>
          </w:p>
        </w:tc>
      </w:tr>
      <w:tr w14:paraId="1EAE662F" w14:textId="77777777">
        <w:tc>
          <w:tcPr>
            <w:tcW w:w="8258" w:type="dxa"/>
            <w:shd w:val="clear" w:color="auto" w:fill="auto"/>
          </w:tcPr>
          <w:p w14:paraId="22465CF1" w14:textId="77777777">
            <w:pPr>
              <w:numPr>
                <w:ilvl w:val="0"/>
                <w:numId w:val="6"/>
              </w:numPr>
              <w:spacing w:before="40" w:after="40"/>
              <w:ind w:left="0" w:firstLine="0"/>
              <w:jc w:val="both"/>
              <w:rPr>
                <w:rFonts w:ascii="Arial" w:hAnsi="Arial"/>
                <w:b/>
                <w:snapToGrid/>
                <w:color w:val="000000"/>
              </w:rPr>
              <w:pStyle w:val="P68B1DB1-Normal6"/>
            </w:pPr>
            <w:r>
              <w:t xml:space="preserve"> Manquement aux obligations dans les domaines du droit environnemental, social et du travail</w:t>
            </w:r>
          </w:p>
          <w:p w14:paraId="00684413" w14:textId="77777777">
            <w:pPr>
              <w:spacing w:before="40" w:after="40"/>
              <w:jc w:val="both"/>
              <w:rPr>
                <w:rFonts w:ascii="Arial" w:hAnsi="Arial"/>
                <w:snapToGrid/>
              </w:rPr>
              <w:pStyle w:val="P68B1DB1-Normal7"/>
            </w:pPr>
            <w:r>
              <w:t xml:space="preserve">L’opérateur économique a-t-il manqué à ses obligations dans les domaines du droit environnemental, social ou du travail? Tels que visés aux fins du présent marché dans l’avis ou les documents de marché pertinents ou à l’article 18, paragraphe 2, de la directive 2014/24/UE. </w:t>
            </w:r>
          </w:p>
        </w:tc>
        <w:tc>
          <w:tcPr>
            <w:tcW w:w="801" w:type="dxa"/>
            <w:shd w:val="clear" w:color="auto" w:fill="auto"/>
          </w:tcPr>
          <w:p w14:paraId="3B083B0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5CE8418"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72549CDB" w14:textId="77777777">
        <w:trPr>
          <w:trHeight w:val="547"/>
        </w:trPr>
        <w:tc>
          <w:tcPr>
            <w:tcW w:w="8258" w:type="dxa"/>
            <w:shd w:val="clear" w:color="auto" w:fill="auto"/>
          </w:tcPr>
          <w:p w14:paraId="2392EE45" w14:textId="77777777">
            <w:pPr>
              <w:numPr>
                <w:ilvl w:val="0"/>
                <w:numId w:val="6"/>
              </w:numPr>
              <w:spacing w:before="40" w:after="40"/>
              <w:ind w:left="0" w:firstLine="0"/>
              <w:jc w:val="both"/>
              <w:rPr>
                <w:rFonts w:ascii="Arial" w:hAnsi="Arial"/>
                <w:b/>
                <w:snapToGrid/>
                <w:color w:val="000000"/>
              </w:rPr>
              <w:pStyle w:val="P68B1DB1-Normal6"/>
            </w:pPr>
            <w:r>
              <w:t xml:space="preserve"> Faillite  </w:t>
            </w:r>
          </w:p>
          <w:p w14:paraId="56CB94B2" w14:textId="77777777">
            <w:pPr>
              <w:spacing w:before="40" w:after="40"/>
              <w:jc w:val="both"/>
              <w:rPr>
                <w:rFonts w:ascii="Arial" w:hAnsi="Arial"/>
                <w:snapToGrid/>
              </w:rPr>
              <w:pStyle w:val="P68B1DB1-Normal7"/>
            </w:pPr>
            <w:r>
              <w:t xml:space="preserve">L’opérateur économique est-il en faillite?  </w:t>
            </w:r>
          </w:p>
        </w:tc>
        <w:tc>
          <w:tcPr>
            <w:tcW w:w="801" w:type="dxa"/>
            <w:shd w:val="clear" w:color="auto" w:fill="auto"/>
          </w:tcPr>
          <w:p w14:paraId="5B146361"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38355D9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76C5B75" w14:textId="77777777">
        <w:trPr>
          <w:trHeight w:val="655"/>
        </w:trPr>
        <w:tc>
          <w:tcPr>
            <w:tcW w:w="8258" w:type="dxa"/>
            <w:shd w:val="clear" w:color="auto" w:fill="auto"/>
          </w:tcPr>
          <w:p w14:paraId="33127B70" w14:textId="77777777">
            <w:pPr>
              <w:numPr>
                <w:ilvl w:val="0"/>
                <w:numId w:val="6"/>
              </w:numPr>
              <w:spacing w:before="40" w:after="40"/>
              <w:ind w:left="0" w:firstLine="0"/>
              <w:jc w:val="both"/>
              <w:rPr>
                <w:rFonts w:ascii="Arial" w:hAnsi="Arial"/>
                <w:b/>
                <w:snapToGrid/>
                <w:color w:val="000000"/>
              </w:rPr>
              <w:pStyle w:val="P68B1DB1-Normal6"/>
            </w:pPr>
            <w:r>
              <w:t xml:space="preserve"> Insolvabilité  </w:t>
            </w:r>
          </w:p>
          <w:p w14:paraId="67165785" w14:textId="77777777">
            <w:pPr>
              <w:spacing w:before="40" w:after="40"/>
              <w:jc w:val="both"/>
              <w:rPr>
                <w:rFonts w:ascii="Arial" w:hAnsi="Arial"/>
                <w:snapToGrid/>
              </w:rPr>
              <w:pStyle w:val="P68B1DB1-Normal7"/>
            </w:pPr>
            <w:r>
              <w:t xml:space="preserve">L'opérateur économique fait-il l'objet d'une procédure d'insolvabilité ou de liquidation?</w:t>
            </w:r>
          </w:p>
        </w:tc>
        <w:tc>
          <w:tcPr>
            <w:tcW w:w="801" w:type="dxa"/>
            <w:shd w:val="clear" w:color="auto" w:fill="auto"/>
          </w:tcPr>
          <w:p w14:paraId="5F286F5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D45522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261A166" w14:textId="77777777">
        <w:trPr>
          <w:trHeight w:val="552"/>
        </w:trPr>
        <w:tc>
          <w:tcPr>
            <w:tcW w:w="8258" w:type="dxa"/>
            <w:shd w:val="clear" w:color="auto" w:fill="auto"/>
          </w:tcPr>
          <w:p w14:paraId="72FD7C6E" w14:textId="77777777">
            <w:pPr>
              <w:numPr>
                <w:ilvl w:val="0"/>
                <w:numId w:val="6"/>
              </w:numPr>
              <w:spacing w:before="40" w:after="40"/>
              <w:ind w:left="0" w:firstLine="0"/>
              <w:jc w:val="both"/>
              <w:rPr>
                <w:rFonts w:ascii="Arial" w:hAnsi="Arial"/>
                <w:b/>
                <w:snapToGrid/>
                <w:color w:val="000000"/>
              </w:rPr>
              <w:pStyle w:val="P68B1DB1-Normal6"/>
            </w:pPr>
            <w:r>
              <w:t xml:space="preserve"> Arrangement avec les créanciers  </w:t>
            </w:r>
          </w:p>
          <w:p w14:paraId="019B7B81" w14:textId="77777777">
            <w:pPr>
              <w:spacing w:before="40" w:after="40"/>
              <w:jc w:val="both"/>
              <w:rPr>
                <w:rFonts w:ascii="Arial" w:hAnsi="Arial"/>
                <w:snapToGrid/>
              </w:rPr>
              <w:pStyle w:val="P68B1DB1-Normal7"/>
            </w:pPr>
            <w:r>
              <w:t xml:space="preserve">L’opérateur économique a-t-il conclu un concordat préventif? </w:t>
            </w:r>
          </w:p>
        </w:tc>
        <w:tc>
          <w:tcPr>
            <w:tcW w:w="801" w:type="dxa"/>
            <w:shd w:val="clear" w:color="auto" w:fill="auto"/>
          </w:tcPr>
          <w:p w14:paraId="44DDBAF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0959501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E455968" w14:textId="77777777">
        <w:trPr>
          <w:trHeight w:val="839"/>
        </w:trPr>
        <w:tc>
          <w:tcPr>
            <w:tcW w:w="8258" w:type="dxa"/>
            <w:shd w:val="clear" w:color="auto" w:fill="auto"/>
          </w:tcPr>
          <w:p w14:paraId="36799E3F" w14:textId="77777777">
            <w:pPr>
              <w:numPr>
                <w:ilvl w:val="0"/>
                <w:numId w:val="6"/>
              </w:numPr>
              <w:spacing w:before="40" w:after="40"/>
              <w:ind w:left="0" w:firstLine="0"/>
              <w:jc w:val="both"/>
              <w:rPr>
                <w:rFonts w:ascii="Arial" w:hAnsi="Arial"/>
                <w:b/>
                <w:snapToGrid/>
                <w:color w:val="000000"/>
              </w:rPr>
              <w:pStyle w:val="P68B1DB1-Normal6"/>
            </w:pPr>
            <w:r>
              <w:t xml:space="preserve"> Situation analogue à la faillite en droit national  </w:t>
            </w:r>
          </w:p>
          <w:p w14:paraId="72B8A8B5" w14:textId="77777777">
            <w:pPr>
              <w:spacing w:before="40" w:after="40"/>
              <w:jc w:val="both"/>
              <w:rPr>
                <w:rFonts w:ascii="Arial" w:hAnsi="Arial"/>
                <w:b/>
                <w:snapToGrid/>
                <w:color w:val="000000"/>
              </w:rPr>
              <w:pStyle w:val="P68B1DB1-Normal7"/>
            </w:pPr>
            <w:r>
              <w:t xml:space="preserve">L’opérateur économique se trouve-t-il dans une situation analogue à celle d’une faillite résultant d’une procédure similaire prévue par les législations et réglementations nationales? </w:t>
            </w:r>
          </w:p>
        </w:tc>
        <w:tc>
          <w:tcPr>
            <w:tcW w:w="801" w:type="dxa"/>
            <w:shd w:val="clear" w:color="auto" w:fill="auto"/>
          </w:tcPr>
          <w:p w14:paraId="312D0F1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8A85EB0"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2C398D30" w14:textId="77777777">
        <w:trPr>
          <w:trHeight w:val="674"/>
        </w:trPr>
        <w:tc>
          <w:tcPr>
            <w:tcW w:w="8258" w:type="dxa"/>
            <w:shd w:val="clear" w:color="auto" w:fill="auto"/>
          </w:tcPr>
          <w:p w14:paraId="2583D1F6" w14:textId="77777777">
            <w:pPr>
              <w:numPr>
                <w:ilvl w:val="0"/>
                <w:numId w:val="6"/>
              </w:numPr>
              <w:spacing w:before="40" w:after="40"/>
              <w:ind w:left="0" w:firstLine="0"/>
              <w:jc w:val="both"/>
              <w:rPr>
                <w:rFonts w:ascii="Arial" w:hAnsi="Arial"/>
                <w:b/>
                <w:snapToGrid/>
                <w:color w:val="000000"/>
              </w:rPr>
              <w:pStyle w:val="P68B1DB1-Normal6"/>
            </w:pPr>
            <w:r>
              <w:t xml:space="preserve"> Actifs administrés par le liquidateur  </w:t>
            </w:r>
          </w:p>
          <w:p w14:paraId="4D1A826A" w14:textId="77777777">
            <w:pPr>
              <w:spacing w:before="40" w:after="40"/>
              <w:jc w:val="both"/>
              <w:rPr>
                <w:rFonts w:ascii="Arial" w:hAnsi="Arial"/>
                <w:snapToGrid/>
              </w:rPr>
              <w:pStyle w:val="P68B1DB1-Normal7"/>
            </w:pPr>
            <w:r>
              <w:t xml:space="preserve">Les actifs de l’opérateur économique sont-ils administrés par un liquidateur ou par une juridiction?  </w:t>
            </w:r>
          </w:p>
        </w:tc>
        <w:tc>
          <w:tcPr>
            <w:tcW w:w="801" w:type="dxa"/>
            <w:shd w:val="clear" w:color="auto" w:fill="auto"/>
          </w:tcPr>
          <w:p w14:paraId="0D09F141"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51790EC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7C1CEAEF" w14:textId="77777777">
        <w:trPr>
          <w:trHeight w:val="636"/>
        </w:trPr>
        <w:tc>
          <w:tcPr>
            <w:tcW w:w="8258" w:type="dxa"/>
            <w:shd w:val="clear" w:color="auto" w:fill="auto"/>
          </w:tcPr>
          <w:p w14:paraId="36EA458D" w14:textId="77777777">
            <w:pPr>
              <w:numPr>
                <w:ilvl w:val="0"/>
                <w:numId w:val="6"/>
              </w:numPr>
              <w:spacing w:before="40" w:after="40"/>
              <w:ind w:left="0" w:firstLine="0"/>
              <w:jc w:val="both"/>
              <w:rPr>
                <w:rFonts w:ascii="Arial" w:hAnsi="Arial"/>
                <w:b/>
                <w:snapToGrid/>
                <w:color w:val="000000"/>
              </w:rPr>
              <w:pStyle w:val="P68B1DB1-Normal6"/>
            </w:pPr>
            <w:r>
              <w:t xml:space="preserve"> Les activités commerciales sont suspendues  </w:t>
            </w:r>
          </w:p>
          <w:p w14:paraId="547B0744" w14:textId="77777777">
            <w:pPr>
              <w:spacing w:before="40" w:after="40"/>
              <w:jc w:val="both"/>
              <w:rPr>
                <w:rFonts w:ascii="Arial" w:hAnsi="Arial"/>
                <w:snapToGrid/>
                <w:color w:val="000000"/>
              </w:rPr>
              <w:pStyle w:val="P68B1DB1-Normal7"/>
            </w:pPr>
            <w:r>
              <w:t xml:space="preserve">Les activités commerciales de l’opérateur économique sont-elles suspendues? </w:t>
            </w:r>
          </w:p>
        </w:tc>
        <w:tc>
          <w:tcPr>
            <w:tcW w:w="801" w:type="dxa"/>
            <w:shd w:val="clear" w:color="auto" w:fill="auto"/>
          </w:tcPr>
          <w:p w14:paraId="0ED29BC4"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0AE5C6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31F2968" w14:textId="77777777">
        <w:tc>
          <w:tcPr>
            <w:tcW w:w="8258" w:type="dxa"/>
            <w:shd w:val="clear" w:color="auto" w:fill="auto"/>
          </w:tcPr>
          <w:p w14:paraId="7C6DC024" w14:textId="77777777">
            <w:pPr>
              <w:numPr>
                <w:ilvl w:val="0"/>
                <w:numId w:val="6"/>
              </w:numPr>
              <w:spacing w:before="40" w:after="40"/>
              <w:ind w:left="0" w:firstLine="0"/>
              <w:jc w:val="both"/>
              <w:rPr>
                <w:rFonts w:ascii="Arial" w:hAnsi="Arial"/>
                <w:b/>
                <w:snapToGrid/>
              </w:rPr>
              <w:pStyle w:val="P68B1DB1-Normal2"/>
            </w:pPr>
            <w:r>
              <w:rPr>
                <w:b/>
              </w:rPr>
              <w:t xml:space="preserve">Accords avec d'autres opérateurs économiques visant à fausser la concurrence </w:t>
            </w:r>
            <w:r>
              <w:t xml:space="preserve">L'opérateur économique a-t-il conclu des accords avec d'autres opérateurs économiques visant à fausser la concurrence? </w:t>
            </w:r>
          </w:p>
        </w:tc>
        <w:tc>
          <w:tcPr>
            <w:tcW w:w="801" w:type="dxa"/>
            <w:shd w:val="clear" w:color="auto" w:fill="auto"/>
          </w:tcPr>
          <w:p w14:paraId="197125E2"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24C70BD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18BC985D" w14:textId="77777777">
        <w:tc>
          <w:tcPr>
            <w:tcW w:w="8258" w:type="dxa"/>
            <w:shd w:val="clear" w:color="auto" w:fill="auto"/>
          </w:tcPr>
          <w:p w14:paraId="5D842185" w14:textId="77777777">
            <w:pPr>
              <w:numPr>
                <w:ilvl w:val="0"/>
                <w:numId w:val="7"/>
              </w:numPr>
              <w:spacing w:before="40" w:after="40"/>
              <w:ind w:left="0" w:firstLine="0"/>
              <w:jc w:val="both"/>
              <w:rPr>
                <w:rFonts w:ascii="Arial" w:hAnsi="Arial"/>
                <w:b/>
                <w:snapToGrid/>
                <w:color w:val="000000"/>
              </w:rPr>
              <w:pStyle w:val="P68B1DB1-Normal6"/>
            </w:pPr>
            <w:r>
              <w:t xml:space="preserve"> Condamnation pour faute professionnelle grave  </w:t>
            </w:r>
          </w:p>
          <w:p w14:paraId="3106C1A3" w14:textId="77777777">
            <w:pPr>
              <w:spacing w:before="40" w:after="40"/>
              <w:jc w:val="both"/>
              <w:rPr>
                <w:rFonts w:ascii="Arial" w:hAnsi="Arial"/>
                <w:snapToGrid/>
              </w:rPr>
              <w:pStyle w:val="P68B1DB1-Normal7"/>
            </w:pPr>
            <w:r>
              <w:t xml:space="preserve">L’opérateur économique a-t-il commis, en matière professionnelle, une faute grave qui met en cause son intégrité? Le cas échéant, voir les définitions figurant dans le droit national, l’avis pertinent ou les documents de marché.</w:t>
            </w:r>
          </w:p>
        </w:tc>
        <w:tc>
          <w:tcPr>
            <w:tcW w:w="801" w:type="dxa"/>
            <w:shd w:val="clear" w:color="auto" w:fill="auto"/>
          </w:tcPr>
          <w:p w14:paraId="6B3F5E48"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7910E8B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656ABB3" w14:textId="77777777">
        <w:tc>
          <w:tcPr>
            <w:tcW w:w="8258" w:type="dxa"/>
            <w:shd w:val="clear" w:color="auto" w:fill="auto"/>
          </w:tcPr>
          <w:p w14:paraId="162DE036" w14:textId="77777777">
            <w:pPr>
              <w:numPr>
                <w:ilvl w:val="0"/>
                <w:numId w:val="8"/>
              </w:numPr>
              <w:spacing w:before="40" w:after="40"/>
              <w:ind w:left="0" w:firstLine="0"/>
              <w:jc w:val="both"/>
              <w:rPr>
                <w:rFonts w:ascii="Arial" w:hAnsi="Arial"/>
                <w:b/>
                <w:snapToGrid/>
                <w:color w:val="000000"/>
              </w:rPr>
              <w:pStyle w:val="P68B1DB1-Normal6"/>
            </w:pPr>
            <w:r>
              <w:t xml:space="preserve"> Résiliation anticipée, dommages-intérêts ou autres sanctions comparables  </w:t>
            </w:r>
          </w:p>
          <w:p w14:paraId="78FF2279" w14:textId="77777777">
            <w:pPr>
              <w:spacing w:before="40" w:after="40"/>
              <w:jc w:val="both"/>
              <w:rPr>
                <w:rFonts w:ascii="Arial" w:hAnsi="Arial"/>
                <w:snapToGrid/>
                <w:color w:val="000000"/>
              </w:rPr>
              <w:pStyle w:val="P68B1DB1-Normal7"/>
            </w:pPr>
            <w:r>
              <w:t xml:space="preserve">L’opérateur économique a-t-il présenté des défaillances significatives ou persistantes dans l’exécution d’une exigence de fond découlant d’un marché public antérieur, d’un marché antérieur passé avec une entité adjudicatrice ou d’un contrat de concession antérieur, qui ont entraîné la résiliation anticipée de ce marché antérieur, des dommages-intérêts ou d’autres sanctions comparables? </w:t>
            </w:r>
          </w:p>
        </w:tc>
        <w:tc>
          <w:tcPr>
            <w:tcW w:w="801" w:type="dxa"/>
            <w:shd w:val="clear" w:color="auto" w:fill="auto"/>
          </w:tcPr>
          <w:p w14:paraId="6EDA784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E44895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07654BEB" w14:textId="77777777">
        <w:tc>
          <w:tcPr>
            <w:tcW w:w="8258" w:type="dxa"/>
            <w:shd w:val="clear" w:color="auto" w:fill="auto"/>
          </w:tcPr>
          <w:p w14:paraId="3605AF9F" w14:textId="77777777">
            <w:pPr>
              <w:numPr>
                <w:ilvl w:val="0"/>
                <w:numId w:val="8"/>
              </w:numPr>
              <w:spacing w:before="40" w:after="40"/>
              <w:ind w:left="0" w:firstLine="0"/>
              <w:jc w:val="both"/>
              <w:rPr>
                <w:rFonts w:ascii="Arial" w:hAnsi="Arial"/>
                <w:b/>
                <w:snapToGrid/>
                <w:color w:val="000000"/>
              </w:rPr>
              <w:pStyle w:val="P68B1DB1-Normal6"/>
            </w:pPr>
            <w:r>
              <w:t xml:space="preserve"> Grave erreur d’interprétation   </w:t>
            </w:r>
          </w:p>
          <w:p w14:paraId="132F2614" w14:textId="77777777">
            <w:pPr>
              <w:spacing w:before="40" w:after="40"/>
              <w:jc w:val="both"/>
              <w:rPr>
                <w:rFonts w:ascii="Arial" w:hAnsi="Arial"/>
                <w:snapToGrid/>
                <w:color w:val="000000"/>
              </w:rPr>
              <w:pStyle w:val="P68B1DB1-Normal7"/>
            </w:pPr>
            <w:r>
              <w:t xml:space="preserve">L’opérateur économique:</w:t>
            </w:r>
          </w:p>
          <w:p w14:paraId="12D49367" w14:textId="77777777">
            <w:pPr>
              <w:numPr>
                <w:ilvl w:val="0"/>
                <w:numId w:val="9"/>
              </w:numPr>
              <w:spacing w:before="40" w:after="40"/>
              <w:ind w:left="594"/>
              <w:jc w:val="both"/>
              <w:rPr>
                <w:rFonts w:ascii="Arial" w:hAnsi="Arial"/>
                <w:snapToGrid/>
                <w:color w:val="000000"/>
              </w:rPr>
              <w:pStyle w:val="P68B1DB1-Normal7"/>
            </w:pPr>
            <w:r>
              <w:t xml:space="preserve">s'est rendu gravement coupable de fausses déclarations en fournissant les renseignements nécessaires à la vérification de l'absence de motifs d'exclusion ou du respect des critères de sélection,</w:t>
            </w:r>
          </w:p>
          <w:p w14:paraId="00278A7F" w14:textId="77777777">
            <w:pPr>
              <w:numPr>
                <w:ilvl w:val="0"/>
                <w:numId w:val="9"/>
              </w:numPr>
              <w:spacing w:before="40" w:after="40"/>
              <w:ind w:left="594"/>
              <w:jc w:val="both"/>
              <w:rPr>
                <w:rFonts w:ascii="Arial" w:hAnsi="Arial"/>
                <w:snapToGrid/>
                <w:color w:val="000000"/>
              </w:rPr>
              <w:pStyle w:val="P68B1DB1-Normal7"/>
            </w:pPr>
            <w:r>
              <w:t xml:space="preserve">a dissimulé ces informations, ou</w:t>
            </w:r>
          </w:p>
          <w:p w14:paraId="07F8E6D5" w14:textId="77777777">
            <w:pPr>
              <w:numPr>
                <w:ilvl w:val="0"/>
                <w:numId w:val="9"/>
              </w:numPr>
              <w:spacing w:before="40" w:after="40"/>
              <w:ind w:left="594"/>
              <w:jc w:val="both"/>
              <w:rPr>
                <w:rFonts w:ascii="Arial" w:hAnsi="Arial"/>
                <w:snapToGrid/>
                <w:color w:val="000000"/>
              </w:rPr>
              <w:pStyle w:val="P68B1DB1-Normal7"/>
            </w:pPr>
            <w:r>
              <w:t xml:space="preserve">n'est pas en mesure de présenter les pièces justificatives requises en vertu de la section IV de la présente déclaration? </w:t>
            </w:r>
          </w:p>
        </w:tc>
        <w:tc>
          <w:tcPr>
            <w:tcW w:w="801" w:type="dxa"/>
            <w:shd w:val="clear" w:color="auto" w:fill="auto"/>
          </w:tcPr>
          <w:p w14:paraId="72BC31CC"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38CF6513"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595B7A8" w14:textId="77777777">
        <w:trPr>
          <w:trHeight w:val="1299"/>
        </w:trPr>
        <w:tc>
          <w:tcPr>
            <w:tcW w:w="8258" w:type="dxa"/>
            <w:shd w:val="clear" w:color="auto" w:fill="auto"/>
          </w:tcPr>
          <w:p w14:paraId="541E2AD2" w14:textId="77777777">
            <w:pPr>
              <w:numPr>
                <w:ilvl w:val="0"/>
                <w:numId w:val="8"/>
              </w:numPr>
              <w:spacing w:before="40" w:after="40"/>
              <w:ind w:left="0" w:firstLine="0"/>
              <w:jc w:val="both"/>
              <w:rPr>
                <w:rFonts w:ascii="Arial" w:hAnsi="Arial"/>
                <w:b/>
                <w:snapToGrid/>
                <w:color w:val="000000"/>
              </w:rPr>
              <w:pStyle w:val="P68B1DB1-Normal6"/>
            </w:pPr>
            <w:r>
              <w:t xml:space="preserve">Influence indue</w:t>
            </w:r>
          </w:p>
          <w:p w14:paraId="245D99D3" w14:textId="77777777">
            <w:pPr>
              <w:spacing w:before="40" w:after="40"/>
              <w:jc w:val="both"/>
              <w:rPr>
                <w:rFonts w:ascii="Arial" w:hAnsi="Arial"/>
                <w:b/>
                <w:snapToGrid/>
                <w:color w:val="000000"/>
              </w:rPr>
              <w:pStyle w:val="P68B1DB1-Normal7"/>
            </w:pPr>
            <w:r>
              <w:t xml:space="preserve">L’opérateur économique s’est-il engagé à influencer indûment le processus décisionnel du pouvoir adjudicateur, à obtenir des informations confidentielles susceptibles de lui conférer des avantages indus dans le cadre de la procédure de passation de marché ou à fournir par négligence des informations trompeuses susceptibles d’avoir une influence significative sur les décisions d’exclusion, de sélection ou d’attribution? </w:t>
            </w:r>
          </w:p>
        </w:tc>
        <w:tc>
          <w:tcPr>
            <w:tcW w:w="801" w:type="dxa"/>
            <w:shd w:val="clear" w:color="auto" w:fill="auto"/>
          </w:tcPr>
          <w:p w14:paraId="35E2FDD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6030A77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4E903072" w14:textId="77777777">
        <w:trPr>
          <w:trHeight w:val="365"/>
        </w:trPr>
        <w:tc>
          <w:tcPr>
            <w:tcW w:w="9755" w:type="dxa"/>
            <w:gridSpan w:val="3"/>
            <w:shd w:val="clear" w:color="auto" w:fill="auto"/>
          </w:tcPr>
          <w:p w14:paraId="1BB374AF" w14:textId="77777777">
            <w:pPr>
              <w:numPr>
                <w:ilvl w:val="0"/>
                <w:numId w:val="4"/>
              </w:numPr>
              <w:spacing w:before="240" w:after="120"/>
              <w:ind w:hanging="502"/>
              <w:jc w:val="both"/>
              <w:rPr>
                <w:rFonts w:ascii="Arial" w:hAnsi="Arial" w:cs="Arial"/>
                <w:b/>
                <w:snapToGrid/>
              </w:rPr>
              <w:pStyle w:val="P68B1DB1-Normal9"/>
            </w:pPr>
            <w:r>
              <w:t xml:space="preserve">Autres motifs</w:t>
            </w:r>
          </w:p>
        </w:tc>
      </w:tr>
      <w:tr w14:paraId="107C830D" w14:textId="77777777">
        <w:trPr>
          <w:trHeight w:val="1201"/>
        </w:trPr>
        <w:tc>
          <w:tcPr>
            <w:tcW w:w="8258" w:type="dxa"/>
            <w:shd w:val="clear" w:color="auto" w:fill="auto"/>
          </w:tcPr>
          <w:p w14:paraId="0C9F5B36" w14:textId="77777777">
            <w:pPr>
              <w:numPr>
                <w:ilvl w:val="0"/>
                <w:numId w:val="11"/>
              </w:numPr>
              <w:spacing w:before="40" w:after="40"/>
              <w:ind w:left="589" w:hanging="567"/>
              <w:jc w:val="both"/>
              <w:rPr>
                <w:rFonts w:ascii="Arial" w:hAnsi="Arial"/>
                <w:b/>
                <w:snapToGrid/>
                <w:color w:val="000000"/>
              </w:rPr>
              <w:pStyle w:val="P68B1DB1-Normal6"/>
            </w:pPr>
            <w:r>
              <w:t xml:space="preserve"> Politique d'exclusion de la BEI</w:t>
            </w:r>
          </w:p>
          <w:p w14:paraId="587AD944" w14:textId="77777777">
            <w:pPr>
              <w:spacing w:before="40" w:after="40"/>
              <w:jc w:val="both"/>
              <w:rPr>
                <w:rFonts w:ascii="Arial" w:hAnsi="Arial"/>
                <w:snapToGrid/>
                <w:color w:val="000000"/>
              </w:rPr>
              <w:pStyle w:val="P68B1DB1-Normal7"/>
            </w:pPr>
            <w:r>
              <w:t xml:space="preserve">L’opérateur économique fait-il actuellement l’objet d’une décision d’exclusion de la BEI qui le rend inéligible à l’attribution de marchés par la BEI?  </w:t>
            </w:r>
          </w:p>
          <w:p w14:paraId="7BEDFDCF" w14:textId="77777777">
            <w:pPr>
              <w:spacing w:before="40" w:after="40"/>
              <w:jc w:val="both"/>
              <w:rPr>
                <w:rFonts w:ascii="Arial" w:hAnsi="Arial"/>
                <w:snapToGrid/>
                <w:color w:val="000000"/>
              </w:rPr>
              <w:pStyle w:val="P68B1DB1-Normal7"/>
            </w:pPr>
            <w:r>
              <w:t xml:space="preserve">Dans l'affirmative, veuillez fournir une brève description: ______________________</w:t>
            </w:r>
          </w:p>
        </w:tc>
        <w:tc>
          <w:tcPr>
            <w:tcW w:w="801" w:type="dxa"/>
            <w:shd w:val="clear" w:color="auto" w:fill="auto"/>
          </w:tcPr>
          <w:p w14:paraId="742EF4EB"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96" w:type="dxa"/>
            <w:shd w:val="clear" w:color="auto" w:fill="auto"/>
          </w:tcPr>
          <w:p w14:paraId="4876CBF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50BF0C61" w14:textId="77777777">
        <w:trPr>
          <w:trHeight w:val="844"/>
        </w:trPr>
        <w:tc>
          <w:tcPr>
            <w:tcW w:w="8258" w:type="dxa"/>
            <w:shd w:val="clear" w:color="auto" w:fill="auto"/>
          </w:tcPr>
          <w:p w14:paraId="13BC50E8" w14:textId="77777777">
            <w:pPr>
              <w:numPr>
                <w:ilvl w:val="0"/>
                <w:numId w:val="11"/>
              </w:numPr>
              <w:spacing w:before="40" w:after="40"/>
              <w:ind w:left="589" w:hanging="567"/>
              <w:jc w:val="both"/>
              <w:rPr>
                <w:rFonts w:ascii="Arial" w:hAnsi="Arial"/>
                <w:b/>
                <w:snapToGrid/>
                <w:color w:val="000000"/>
              </w:rPr>
              <w:pStyle w:val="P68B1DB1-Normal6"/>
            </w:pPr>
            <w:r>
              <w:t>Sanctions</w:t>
            </w:r>
          </w:p>
          <w:p w14:paraId="3A789D30" w14:textId="77777777">
            <w:pPr>
              <w:spacing w:before="40" w:after="40"/>
              <w:ind w:left="22"/>
              <w:jc w:val="both"/>
              <w:rPr>
                <w:rFonts w:ascii="Arial" w:hAnsi="Arial"/>
                <w:b/>
                <w:snapToGrid/>
                <w:color w:val="000000"/>
              </w:rPr>
              <w:pStyle w:val="P68B1DB1-Normal10"/>
            </w:pPr>
            <w:r>
              <w:rPr>
                <w:rFonts w:ascii="Arial" w:hAnsi="Arial"/>
                <w:color w:val="000000"/>
              </w:rPr>
              <w:t xml:space="preserve">L'opérateur économique lui-même, ou toute personne qui est membre de son organe d'administration, de direction ou de surveillance ou qui y dispose de pouvoirs de représentation, de décision ou de contrôle, fait-il </w:t>
            </w:r>
            <w:r>
              <w:rPr>
                <w:rFonts w:ascii="Arial" w:cs="Arial"/>
              </w:rPr>
              <w:t xml:space="preserve">l'objet d'une sanction ou d'une mesure restrictive</w:t>
              <w:footnoteReference w:id="1"/>
            </w:r>
            <w:r>
              <w:rPr>
                <w:rFonts w:ascii="Arial Bold" w:hAnsi="Arial Bold" w:cs="Arial"/>
              </w:rPr>
              <w:t xml:space="preserve"> </w:t>
            </w:r>
            <w:r>
              <w:rPr>
                <w:rFonts w:ascii="Arial" w:hAnsi="Arial" w:cs="Arial"/>
              </w:rPr>
              <w:t xml:space="preserve">imposée ou administrée par:</w:t>
            </w:r>
          </w:p>
        </w:tc>
        <w:tc>
          <w:tcPr>
            <w:tcW w:w="801" w:type="dxa"/>
            <w:shd w:val="clear" w:color="auto" w:fill="auto"/>
          </w:tcPr>
          <w:p w14:paraId="40330A29" w14:textId="77777777">
            <w:pPr>
              <w:spacing w:before="240" w:after="120"/>
              <w:jc w:val="both"/>
              <w:rPr>
                <w:rFonts w:ascii="Arial" w:hAnsi="Arial"/>
                <w:snapToGrid/>
              </w:rPr>
            </w:pPr>
          </w:p>
        </w:tc>
        <w:tc>
          <w:tcPr>
            <w:tcW w:w="696" w:type="dxa"/>
            <w:shd w:val="clear" w:color="auto" w:fill="auto"/>
          </w:tcPr>
          <w:p w14:paraId="0119AAEE" w14:textId="77777777">
            <w:pPr>
              <w:spacing w:before="240" w:after="120"/>
              <w:jc w:val="both"/>
              <w:rPr>
                <w:rFonts w:ascii="Arial" w:hAnsi="Arial"/>
                <w:snapToGrid/>
              </w:rPr>
            </w:pPr>
          </w:p>
        </w:tc>
      </w:tr>
      <w:tr w14:paraId="0E50A79A" w14:textId="77777777">
        <w:trPr>
          <w:trHeight w:val="686"/>
        </w:trPr>
        <w:tc>
          <w:tcPr>
            <w:tcW w:w="8258" w:type="dxa"/>
            <w:shd w:val="clear" w:color="auto" w:fill="auto"/>
          </w:tcPr>
          <w:p w14:paraId="4C4ACD9D" w14:textId="77777777">
            <w:pPr>
              <w:numPr>
                <w:ilvl w:val="0"/>
                <w:numId w:val="14"/>
              </w:numPr>
              <w:spacing w:before="40" w:after="40"/>
              <w:jc w:val="both"/>
              <w:rPr>
                <w:rFonts w:ascii="Arial" w:hAnsi="Arial"/>
                <w:snapToGrid/>
                <w:color w:val="000000"/>
              </w:rPr>
              <w:pStyle w:val="P68B1DB1-Normal10"/>
            </w:pPr>
            <w:r>
              <w:rPr>
                <w:rFonts w:ascii="Arial" w:hAnsi="Arial"/>
                <w:color w:val="000000"/>
              </w:rPr>
              <w:t xml:space="preserve">l'Union européenne;</w:t>
            </w:r>
            <w:r>
              <w:rPr>
                <w:rFonts w:ascii="Arial Bold" w:hAnsi="Arial Bold" w:cs="Arial"/>
              </w:rPr>
              <w:footnoteReference w:id="2"/>
            </w:r>
            <w:r>
              <w:rPr>
                <w:rFonts w:ascii="Arial" w:hAnsi="Arial"/>
                <w:color w:val="000000"/>
              </w:rPr>
              <w:t xml:space="preserve"> ou</w:t>
            </w:r>
          </w:p>
        </w:tc>
        <w:tc>
          <w:tcPr>
            <w:tcW w:w="801" w:type="dxa"/>
            <w:shd w:val="clear" w:color="auto" w:fill="auto"/>
          </w:tcPr>
          <w:p w14:paraId="6CBEE64F"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c>
          <w:tcPr>
            <w:tcW w:w="696" w:type="dxa"/>
            <w:shd w:val="clear" w:color="auto" w:fill="auto"/>
          </w:tcPr>
          <w:p w14:paraId="72966293"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r>
      <w:tr w14:paraId="5F9D38F6" w14:textId="77777777">
        <w:trPr>
          <w:trHeight w:val="568"/>
        </w:trPr>
        <w:tc>
          <w:tcPr>
            <w:tcW w:w="8258" w:type="dxa"/>
            <w:shd w:val="clear" w:color="auto" w:fill="auto"/>
          </w:tcPr>
          <w:p w14:paraId="473A7EB6" w14:textId="77777777">
            <w:pPr>
              <w:numPr>
                <w:ilvl w:val="0"/>
                <w:numId w:val="15"/>
              </w:numPr>
              <w:spacing w:before="40" w:after="40"/>
              <w:jc w:val="both"/>
              <w:rPr>
                <w:rFonts w:ascii="Arial" w:hAnsi="Arial"/>
                <w:snapToGrid/>
                <w:color w:val="000000"/>
              </w:rPr>
              <w:pStyle w:val="P68B1DB1-Normal7"/>
            </w:pPr>
            <w:r>
              <w:t xml:space="preserve">États-Unis d'Amérique?</w:t>
            </w:r>
          </w:p>
        </w:tc>
        <w:tc>
          <w:tcPr>
            <w:tcW w:w="801" w:type="dxa"/>
            <w:shd w:val="clear" w:color="auto" w:fill="auto"/>
          </w:tcPr>
          <w:p w14:paraId="2A1BD5B3"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c>
          <w:tcPr>
            <w:tcW w:w="696" w:type="dxa"/>
            <w:shd w:val="clear" w:color="auto" w:fill="auto"/>
          </w:tcPr>
          <w:p w14:paraId="08E1F5BE" w14:textId="77777777">
            <w:pPr>
              <w:spacing w:before="240"/>
              <w:rPr>
                <w:rFonts w:ascii="Arial" w:hAnsi="Arial"/>
                <w:snapToGrid/>
              </w:rPr>
              <w:pStyle w:val="P68B1DB1-Normal11"/>
            </w:pPr>
            <w:r>
              <w:fldChar w:fldCharType="begin">
                <w:ffData>
                  <w:name w:val="Check1"/>
                  <w:enabled/>
                  <w:calcOnExit w:val="0"/>
                  <w:checkBox>
                    <w:sizeAuto/>
                    <w:default w:val="0"/>
                  </w:checkBox>
                </w:ffData>
              </w:fldChar>
            </w:r>
            <w:r>
              <w:rPr>
                <w:rFonts w:ascii="Arial" w:hAnsi="Arial"/>
                <w:snapToGrid/>
                <w:sz w:val="22"/>
              </w:rPr>
              <w:instrText xml:space="preserve"> FORMCHECKBOX </w:instrText>
            </w:r>
            <w:r>
              <w:rPr>
                <w:rFonts w:ascii="Arial" w:hAnsi="Arial"/>
                <w:snapToGrid/>
                <w:sz w:val="22"/>
              </w:rPr>
            </w:r>
            <w:r>
              <w:rPr>
                <w:rFonts w:ascii="Arial" w:hAnsi="Arial"/>
                <w:snapToGrid/>
                <w:sz w:val="22"/>
              </w:rPr>
              <w:fldChar w:fldCharType="separate"/>
            </w:r>
            <w:r>
              <w:rPr>
                <w:rFonts w:ascii="Arial" w:hAnsi="Arial"/>
                <w:snapToGrid/>
                <w:sz w:val="22"/>
              </w:rPr>
              <w:fldChar w:fldCharType="end"/>
            </w:r>
          </w:p>
        </w:tc>
      </w:tr>
    </w:tbl>
    <w:p w14:paraId="2D9F2563" w14:textId="77777777">
      <w:pPr>
        <w:spacing w:before="360" w:after="240"/>
        <w:jc w:val="center"/>
        <w:outlineLvl w:val="0"/>
        <w:rPr>
          <w:rFonts w:ascii="Arial" w:hAnsi="Arial"/>
          <w:b/>
          <w:smallCaps/>
          <w:snapToGrid/>
          <w:kern w:val="28"/>
        </w:rPr>
        <w:pStyle w:val="P68B1DB1-Normal12"/>
      </w:pPr>
      <w:r>
        <w:t xml:space="preserve">II – Conflit d’intérêts</w:t>
      </w:r>
    </w:p>
    <w:tbl>
      <w:tblPr>
        <w:tblW w:w="9771" w:type="dxa"/>
        <w:tblCellMar>
          <w:left w:w="0" w:type="dxa"/>
          <w:right w:w="0" w:type="dxa"/>
        </w:tblCellMar>
        <w:tblLook w:val="04A0" w:firstRow="1" w:lastRow="0" w:firstColumn="1" w:lastColumn="0" w:noHBand="0" w:noVBand="1"/>
      </w:tblPr>
      <w:tblGrid>
        <w:gridCol w:w="7621"/>
        <w:gridCol w:w="851"/>
        <w:gridCol w:w="1299"/>
      </w:tblGrid>
      <w:tr w14:paraId="01671132" w14:textId="77777777">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A0FA5" w14:textId="77777777">
            <w:pPr>
              <w:rPr>
                <w:rFonts w:ascii="Arial" w:hAnsi="Arial"/>
              </w:rPr>
            </w:pPr>
          </w:p>
        </w:tc>
        <w:tc>
          <w:tcPr>
            <w:tcW w:w="851" w:type="dxa"/>
            <w:tcBorders>
              <w:top w:val="single" w:sz="8" w:space="0" w:color="auto"/>
              <w:left w:val="single" w:sz="8" w:space="0" w:color="auto"/>
              <w:bottom w:val="single" w:sz="8" w:space="0" w:color="auto"/>
              <w:right w:val="single" w:sz="8" w:space="0" w:color="auto"/>
            </w:tcBorders>
          </w:tcPr>
          <w:p w14:paraId="78E70E1F" w14:textId="77777777">
            <w:pPr>
              <w:spacing w:before="240" w:after="120"/>
              <w:jc w:val="center"/>
              <w:rPr>
                <w:rFonts w:ascii="Arial" w:hAnsi="Arial"/>
              </w:rPr>
              <w:pStyle w:val="P68B1DB1-Normal13"/>
            </w:pPr>
            <w:r>
              <w:t>OUI</w:t>
            </w:r>
          </w:p>
        </w:tc>
        <w:tc>
          <w:tcPr>
            <w:tcW w:w="1299" w:type="dxa"/>
            <w:tcBorders>
              <w:top w:val="single" w:sz="8" w:space="0" w:color="auto"/>
              <w:left w:val="single" w:sz="8" w:space="0" w:color="auto"/>
              <w:bottom w:val="single" w:sz="8" w:space="0" w:color="auto"/>
              <w:right w:val="single" w:sz="8" w:space="0" w:color="auto"/>
            </w:tcBorders>
          </w:tcPr>
          <w:p w14:paraId="5315ABA7" w14:textId="77777777">
            <w:pPr>
              <w:spacing w:before="240" w:after="120"/>
              <w:jc w:val="center"/>
              <w:rPr>
                <w:rFonts w:ascii="Arial" w:hAnsi="Arial"/>
              </w:rPr>
              <w:pStyle w:val="P68B1DB1-Normal13"/>
            </w:pPr>
            <w:r>
              <w:t>NON</w:t>
            </w:r>
          </w:p>
        </w:tc>
      </w:tr>
      <w:tr w14:paraId="44C2AF6B" w14:textId="77777777">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0B5160" w14:textId="77777777">
            <w:pPr>
              <w:rPr>
                <w:rFonts w:ascii="Arial" w:hAnsi="Arial"/>
              </w:rPr>
              <w:pStyle w:val="P68B1DB1-Normal7"/>
            </w:pPr>
            <w:r>
              <w:t xml:space="preserve">L’opérateur économique a-t-il connaissance d’un </w:t>
            </w:r>
            <w:r>
              <w:rPr>
                <w:b/>
              </w:rPr>
              <w:t xml:space="preserve">conflit d’intérêts</w:t>
            </w:r>
            <w:r>
              <w:t xml:space="preserve">*, tel qu’indiqué dans le droit national, l’avis pertinent ou les documents de marché en raison de sa participation à la procédure de passation de marché?</w:t>
            </w:r>
          </w:p>
          <w:p w14:paraId="4F3DC224" w14:textId="77777777">
            <w:pPr>
              <w:rPr>
                <w:rFonts w:ascii="Arial" w:hAnsi="Arial"/>
              </w:rPr>
              <w:pStyle w:val="P68B1DB1-Normal13"/>
            </w:pPr>
            <w:r>
              <w:rPr>
                <w:b/>
              </w:rPr>
              <w:t xml:space="preserve">Dans l’affirmative,</w:t>
            </w:r>
            <w:r>
              <w:t xml:space="preserve"> veuillez fournir des précisions:</w:t>
            </w:r>
          </w:p>
          <w:p w14:paraId="0F4DC476" w14:textId="77777777">
            <w:pPr>
              <w:rPr>
                <w:rFonts w:ascii="Arial" w:hAnsi="Arial" w:eastAsia="Calibri"/>
              </w:rPr>
            </w:pPr>
          </w:p>
        </w:tc>
        <w:tc>
          <w:tcPr>
            <w:tcW w:w="851" w:type="dxa"/>
            <w:tcBorders>
              <w:top w:val="single" w:sz="8" w:space="0" w:color="auto"/>
              <w:left w:val="single" w:sz="8" w:space="0" w:color="auto"/>
              <w:bottom w:val="single" w:sz="8" w:space="0" w:color="auto"/>
              <w:right w:val="single" w:sz="8" w:space="0" w:color="auto"/>
            </w:tcBorders>
            <w:vAlign w:val="center"/>
          </w:tcPr>
          <w:p w14:paraId="35768D21"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2010EF8D"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r>
      <w:tr w14:paraId="546F28A2" w14:textId="77777777">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06260" w14:textId="77777777">
            <w:pPr>
              <w:rPr>
                <w:rFonts w:ascii="Arial" w:hAnsi="Arial" w:eastAsia="Calibri"/>
              </w:rPr>
              <w:pStyle w:val="P68B1DB1-Normal13"/>
            </w:pPr>
            <w:r>
              <w:t xml:space="preserve">L’opérateur économique ou une entreprise liée à celui-ci </w:t>
            </w:r>
            <w:r>
              <w:rPr>
                <w:b/>
              </w:rPr>
              <w:t xml:space="preserve">a-t-il conseillé</w:t>
            </w:r>
            <w:r>
              <w:t xml:space="preserve"> le pouvoir adjudicateur ou l’entité adjudicatrice ou a-t-il participé d’une </w:t>
            </w:r>
            <w:r>
              <w:rPr>
                <w:b/>
              </w:rPr>
              <w:t xml:space="preserve">autre manière à la préparation</w:t>
            </w:r>
            <w:r>
              <w:t xml:space="preserve"> de la procédure de passation de marché?</w:t>
            </w:r>
          </w:p>
          <w:p w14:paraId="045AFA29" w14:textId="77777777">
            <w:pPr>
              <w:rPr>
                <w:rFonts w:ascii="Arial" w:hAnsi="Arial"/>
              </w:rPr>
              <w:pStyle w:val="P68B1DB1-Normal13"/>
            </w:pPr>
            <w:r>
              <w:rPr>
                <w:b/>
              </w:rPr>
              <w:t xml:space="preserve">Dans l’affirmative,</w:t>
            </w:r>
            <w:r>
              <w:t xml:space="preserve"> veuillez fournir des précisions:</w:t>
            </w:r>
          </w:p>
          <w:p w14:paraId="313B9EFB" w14:textId="77777777">
            <w:pPr>
              <w:rPr>
                <w:rFonts w:ascii="Arial" w:hAnsi="Arial" w:eastAsia="Calibri"/>
              </w:rPr>
            </w:pPr>
          </w:p>
        </w:tc>
        <w:tc>
          <w:tcPr>
            <w:tcW w:w="851" w:type="dxa"/>
            <w:tcBorders>
              <w:top w:val="nil"/>
              <w:left w:val="single" w:sz="8" w:space="0" w:color="auto"/>
              <w:bottom w:val="single" w:sz="8" w:space="0" w:color="auto"/>
              <w:right w:val="single" w:sz="8" w:space="0" w:color="auto"/>
            </w:tcBorders>
            <w:vAlign w:val="center"/>
          </w:tcPr>
          <w:p w14:paraId="574EE3D7"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c>
          <w:tcPr>
            <w:tcW w:w="1299" w:type="dxa"/>
            <w:tcBorders>
              <w:top w:val="nil"/>
              <w:left w:val="single" w:sz="8" w:space="0" w:color="auto"/>
              <w:bottom w:val="single" w:sz="8" w:space="0" w:color="auto"/>
              <w:right w:val="single" w:sz="8" w:space="0" w:color="auto"/>
            </w:tcBorders>
            <w:vAlign w:val="center"/>
          </w:tcPr>
          <w:p w14:paraId="08879516" w14:textId="77777777">
            <w:pPr>
              <w:spacing w:before="240" w:after="120"/>
              <w:jc w:val="center"/>
              <w:rPr>
                <w:rFonts w:ascii="Arial" w:hAnsi="Arial"/>
              </w:rPr>
              <w:pStyle w:val="P68B1DB1-Normal13"/>
            </w:pPr>
            <w:r>
              <w:fldChar w:fldCharType="begin">
                <w:ffData>
                  <w:name w:val="Check1"/>
                  <w:enabled/>
                  <w:calcOnExit w:val="0"/>
                  <w:checkBox>
                    <w:sizeAuto/>
                    <w:default w:val="0"/>
                  </w:checkBox>
                </w:ffData>
              </w:fldChar>
            </w:r>
            <w:r>
              <w:rPr>
                <w:rFonts w:ascii="Arial" w:hAnsi="Arial"/>
              </w:rPr>
              <w:instrText xml:space="preserve"> FORMCHECKBOX </w:instrText>
            </w:r>
            <w:r>
              <w:rPr>
                <w:rFonts w:ascii="Arial" w:hAnsi="Arial"/>
              </w:rPr>
            </w:r>
            <w:r>
              <w:rPr>
                <w:rFonts w:ascii="Arial" w:hAnsi="Arial"/>
              </w:rPr>
              <w:fldChar w:fldCharType="separate"/>
            </w:r>
            <w:r>
              <w:rPr>
                <w:rFonts w:ascii="Arial" w:hAnsi="Arial"/>
              </w:rPr>
              <w:fldChar w:fldCharType="end"/>
            </w:r>
          </w:p>
        </w:tc>
      </w:tr>
    </w:tbl>
    <w:p w14:paraId="4776BF2B" w14:textId="77777777">
      <w:pPr>
        <w:jc w:val="both"/>
        <w:rPr>
          <w:rFonts w:ascii="Arial" w:hAnsi="Arial" w:cs="Arial"/>
          <w:i/>
        </w:rPr>
        <w:pStyle w:val="P68B1DB1-Normal14"/>
      </w:pPr>
      <w:r>
        <w:t>*</w:t>
      </w:r>
      <w:r>
        <w:rPr>
          <w:i/>
        </w:rPr>
        <w:t xml:space="preserve">Un conflit d'intérêts peut notamment résulter d'une affinité économique, financière, politique ou nationale directe ou indirecte, d'une vie familiale, affective ou de tout autre intérêt commun.</w:t>
      </w:r>
    </w:p>
    <w:p w14:paraId="3190B92D" w14:textId="77777777">
      <w:pPr>
        <w:spacing w:before="240" w:after="60"/>
        <w:jc w:val="center"/>
        <w:outlineLvl w:val="0"/>
        <w:rPr>
          <w:rFonts w:ascii="Arial" w:hAnsi="Arial" w:cs="Arial"/>
          <w:b/>
          <w:snapToGrid/>
          <w:kern w:val="28"/>
        </w:rPr>
        <w:pStyle w:val="P68B1DB1-Normal3"/>
      </w:pPr>
      <w:r>
        <w:t xml:space="preserve">III – Mesures correctives</w:t>
      </w:r>
    </w:p>
    <w:p w14:paraId="181CC40C" w14:textId="77777777">
      <w:pPr>
        <w:spacing w:before="120" w:after="120"/>
        <w:ind w:right="-35"/>
        <w:jc w:val="both"/>
        <w:rPr>
          <w:rFonts w:ascii="Arial" w:hAnsi="Arial"/>
          <w:snapToGrid/>
          <w:color w:val="000000"/>
        </w:rPr>
        <w:pStyle w:val="P68B1DB1-Normal2"/>
      </w:pPr>
      <w:r>
        <w:t xml:space="preserve">Si l’opérateur économique déclare l’une des </w:t>
      </w:r>
      <w:r>
        <w:rPr>
          <w:color w:val="000000"/>
        </w:rPr>
        <w:t xml:space="preserve">situations d’exclusion énumérées aux sections I ou II ci-dessus, il peut apporter la preuve que les mesures prises par l’opérateur économique sont suffisantes pour démontrer sa fiabilité malgré l’existence d’un motif d’exclusion pertinent. Ces mesures, qui seront réexaminées par le pouvoir adjudicateur à la lumière de l’article 57 de la directive 2014/24/UE, peuvent inclure, par exemple, des mesures techniques, organisationnelles et en matière de personnel visant à prévenir de nouvelles occurrences, la réparation de dommages ou le paiement d’amendes. Les preuves documentaires pertinentes illustrant les mesures correctives prises doivent être fournies dans une annexe à la présente déclaration. </w:t>
      </w:r>
    </w:p>
    <w:p w14:paraId="2299CBE4" w14:textId="77777777">
      <w:pPr>
        <w:spacing w:before="120" w:after="120"/>
        <w:ind w:right="-35"/>
        <w:jc w:val="both"/>
        <w:rPr>
          <w:rFonts w:ascii="Arial" w:hAnsi="Arial"/>
          <w:snapToGrid/>
          <w:color w:val="000000"/>
        </w:rPr>
        <w:pStyle w:val="P68B1DB1-Normal7"/>
      </w:pPr>
      <w:r>
        <w:t xml:space="preserve">La mise en place de mesures correctives ne s’applique pas: </w:t>
      </w:r>
    </w:p>
    <w:p w14:paraId="012FA0E8" w14:textId="77777777">
      <w:pPr>
        <w:numPr>
          <w:ilvl w:val="0"/>
          <w:numId w:val="12"/>
        </w:numPr>
        <w:spacing w:before="120" w:after="120"/>
        <w:ind w:right="-35"/>
        <w:jc w:val="both"/>
        <w:rPr>
          <w:rFonts w:ascii="Arial" w:hAnsi="Arial" w:cs="Arial"/>
          <w:snapToGrid/>
          <w:color w:val="000000"/>
        </w:rPr>
        <w:pStyle w:val="P68B1DB1-Normal15"/>
      </w:pPr>
      <w:r>
        <w:t xml:space="preserve">point I.D (Autres motifs), sauf lorsqu’une personne physique qui est membre de l’organe d’administration, de direction ou de surveillance de l’opérateur économique ou qui y dispose de pouvoirs de représentation, de décision ou de contrôle fait l’objet d’une sanction ou d’une mesure restrictive, auquel cas l’opérateur économique peut proposer, à titre de mesure corrective, que la ou les personnes physiques concernées ne soient pas associées au contrat proposé, ou</w:t>
      </w:r>
    </w:p>
    <w:p w14:paraId="1B3C84CD" w14:textId="77777777">
      <w:pPr>
        <w:numPr>
          <w:ilvl w:val="0"/>
          <w:numId w:val="12"/>
        </w:numPr>
        <w:spacing w:before="120" w:after="120"/>
        <w:ind w:right="-35"/>
        <w:jc w:val="both"/>
        <w:rPr>
          <w:rFonts w:ascii="Arial" w:hAnsi="Arial" w:cs="Arial"/>
          <w:snapToGrid/>
          <w:color w:val="000000"/>
        </w:rPr>
        <w:pStyle w:val="P68B1DB1-Normal15"/>
      </w:pPr>
      <w:r>
        <w:t xml:space="preserve">pendant une période d'exclusion de la participation aux procédures de passation de marchés ou d'attribution de concessions imposée par un jugement définitif dans les États membres où le jugement est effectif.</w:t>
      </w:r>
    </w:p>
    <w:p w14:paraId="7BBF7FDE" w14:textId="77777777">
      <w:pPr>
        <w:spacing w:before="240" w:after="60"/>
        <w:jc w:val="center"/>
        <w:outlineLvl w:val="0"/>
        <w:rPr>
          <w:rFonts w:ascii="Arial" w:hAnsi="Arial" w:cs="Arial"/>
          <w:b/>
          <w:snapToGrid/>
          <w:kern w:val="28"/>
        </w:rPr>
        <w:pStyle w:val="P68B1DB1-Normal3"/>
      </w:pPr>
      <w:r>
        <w:t xml:space="preserve">IV – Preuves sur demande</w:t>
      </w:r>
    </w:p>
    <w:p w14:paraId="7C99535B" w14:textId="77777777">
      <w:pPr>
        <w:spacing w:before="120" w:after="120"/>
        <w:ind w:right="-35"/>
        <w:jc w:val="both"/>
        <w:rPr>
          <w:rFonts w:ascii="Arial" w:hAnsi="Arial"/>
          <w:snapToGrid/>
        </w:rPr>
        <w:pStyle w:val="P68B1DB1-Normal2"/>
      </w:pPr>
      <w:r>
        <w:t xml:space="preserve">Sur demande et dans le délai qui y est fixé, le pouvoir adjudicateur exige de l’opérateur économique qu’il présente les moyens de preuve suivants comme preuve de l’absence de motifs d’exclusion déclarés aux sections I et II de la présente déclaration: </w:t>
      </w:r>
    </w:p>
    <w:p w14:paraId="211FBB47" w14:textId="77777777">
      <w:pPr>
        <w:numPr>
          <w:ilvl w:val="0"/>
          <w:numId w:val="10"/>
        </w:numPr>
        <w:spacing w:before="120" w:after="120"/>
        <w:ind w:right="-35"/>
        <w:jc w:val="both"/>
        <w:rPr>
          <w:rFonts w:ascii="Arial" w:hAnsi="Arial" w:cs="Arial"/>
          <w:snapToGrid/>
        </w:rPr>
        <w:pStyle w:val="P68B1DB1-Normal16"/>
      </w:pPr>
      <w:r>
        <w:t xml:space="preserve">en ce qui concerne </w:t>
      </w:r>
      <w:r>
        <w:rPr>
          <w:color w:val="000000"/>
        </w:rPr>
        <w:t xml:space="preserve">le point I.A (motifs relatifs aux condamnations pénales), la production d’un extrait du registre pertinent, tel que le casier judiciaire ou, à</w:t>
      </w:r>
      <w:r>
        <w:t xml:space="preserve"> défaut, d’un document équivalent délivré par une autorité judiciaire ou administrative compétente de l’État membre ou du pays d’origine ou du pays où l’opérateur économique est établi, dont il résulte que ces exigences sont satisfaites; et</w:t>
      </w:r>
    </w:p>
    <w:p w14:paraId="596057F3" w14:textId="77777777">
      <w:pPr>
        <w:numPr>
          <w:ilvl w:val="0"/>
          <w:numId w:val="10"/>
        </w:numPr>
        <w:spacing w:before="120" w:after="120"/>
        <w:ind w:right="-35"/>
        <w:jc w:val="both"/>
        <w:rPr>
          <w:rFonts w:ascii="Arial" w:hAnsi="Arial" w:cs="Arial"/>
          <w:snapToGrid/>
        </w:rPr>
        <w:pStyle w:val="P68B1DB1-Normal16"/>
      </w:pPr>
      <w:r>
        <w:t xml:space="preserve">en ce qui concerne le point I.B (paiement des impôts ou des cotisations de sécurité sociale) et les points I.C b) à g) (insolvabilité, conflits d’intérêts ou faute professionnelle), un certificat délivré par l’autorité compétente de l’État membre ou du pays concerné.</w:t>
      </w:r>
    </w:p>
    <w:p w14:paraId="601AF837" w14:textId="77777777">
      <w:pPr>
        <w:tabs>
          <w:tab w:val="left" w:pos="-480"/>
          <w:tab w:val="left" w:pos="-142"/>
          <w:tab w:val="left" w:pos="426"/>
          <w:tab w:val="left" w:pos="4680"/>
          <w:tab w:val="left" w:pos="8400"/>
        </w:tabs>
        <w:spacing w:before="100" w:beforeAutospacing="1" w:after="100" w:afterAutospacing="1"/>
        <w:ind w:right="-35"/>
        <w:jc w:val="both"/>
        <w:rPr>
          <w:rFonts w:ascii="Arial" w:hAnsi="Arial"/>
        </w:rPr>
        <w:pStyle w:val="P68B1DB1-Normal13"/>
      </w:pPr>
      <w:r>
        <w:t xml:space="preserve">Lorsque l’État membre ou le pays en question ne délivre pas de tels documents ou certificats, ou lorsque ceux-ci ne couvrent pas tous les cas visés aux points I.A, I.B ou aux points I.C b) à g), ils peuvent être remplacés par une déclaration sous serment ou, dans les États membres ou les pays où il n’existe pas de déclaration sous serment, par une déclaration solennelle faite par l’intéressé devant une autorité judiciaire ou administrative compétente, un notaire ou un organisme professionnel compétent, dans l’État membre ou le pays d’origine ou dans l’État membre ou le pays où l’opérateur économique est établi.</w:t>
      </w:r>
    </w:p>
    <w:p w14:paraId="05B14840" w14:textId="77777777">
      <w:pPr>
        <w:spacing w:before="100" w:beforeAutospacing="1" w:after="100" w:afterAutospacing="1"/>
        <w:ind w:right="-35"/>
        <w:jc w:val="both"/>
        <w:rPr>
          <w:rFonts w:ascii="Arial" w:hAnsi="Arial"/>
          <w:snapToGrid/>
        </w:rPr>
        <w:pStyle w:val="P68B1DB1-Normal2"/>
      </w:pPr>
      <w:r>
        <w:t xml:space="preserve">L’opérateur économique n’est pas tenu de présenter les éléments de preuve s’ils ont déjà été présentés dans le cadre d’une autre procédure de passation de marché avec le même pouvoir adjudicateur. Les documents doivent avoir été délivrés au plus tard un an avant la date de leur demande par le pouvoir adjudicateur et doivent toujours être valables à cette date. Le signataire déclare que l’opérateur économique a déjà fourni les preuves documentaires d’une procédure antérieure et confirme que sa situation n’a pas changé: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14:paraId="55435CE1" w14:textId="77777777">
        <w:tc>
          <w:tcPr>
            <w:tcW w:w="4786" w:type="dxa"/>
            <w:shd w:val="clear" w:color="auto" w:fill="auto"/>
          </w:tcPr>
          <w:p w14:paraId="7D2D72CC" w14:textId="77777777">
            <w:pPr>
              <w:spacing w:before="100" w:beforeAutospacing="1" w:after="100" w:afterAutospacing="1"/>
              <w:jc w:val="center"/>
              <w:rPr>
                <w:rFonts w:ascii="Arial" w:hAnsi="Arial"/>
                <w:b/>
                <w:snapToGrid/>
              </w:rPr>
              <w:pStyle w:val="P68B1DB1-Normal5"/>
            </w:pPr>
            <w:r>
              <w:t>Document</w:t>
            </w:r>
          </w:p>
        </w:tc>
        <w:tc>
          <w:tcPr>
            <w:tcW w:w="4678" w:type="dxa"/>
            <w:shd w:val="clear" w:color="auto" w:fill="auto"/>
          </w:tcPr>
          <w:p w14:paraId="5399FB1D" w14:textId="77777777">
            <w:pPr>
              <w:spacing w:before="100" w:beforeAutospacing="1" w:after="100" w:afterAutospacing="1"/>
              <w:jc w:val="center"/>
              <w:rPr>
                <w:rFonts w:ascii="Arial" w:hAnsi="Arial"/>
                <w:b/>
                <w:snapToGrid/>
              </w:rPr>
              <w:pStyle w:val="P68B1DB1-Normal5"/>
            </w:pPr>
            <w:r>
              <w:t xml:space="preserve">Référence complète à la procédure précédente</w:t>
            </w:r>
          </w:p>
        </w:tc>
      </w:tr>
      <w:tr w14:paraId="20CE5650" w14:textId="77777777">
        <w:tc>
          <w:tcPr>
            <w:tcW w:w="4786" w:type="dxa"/>
            <w:shd w:val="clear" w:color="auto" w:fill="auto"/>
          </w:tcPr>
          <w:p w14:paraId="144EF94F" w14:textId="77777777">
            <w:pPr>
              <w:spacing w:before="100" w:beforeAutospacing="1" w:after="100" w:afterAutospacing="1"/>
              <w:rPr>
                <w:rFonts w:ascii="Arial" w:hAnsi="Arial"/>
                <w:snapToGrid/>
              </w:rPr>
              <w:pStyle w:val="P68B1DB1-Normal17"/>
            </w:pPr>
            <w:r>
              <w:t xml:space="preserve">Insérez autant de lignes que nécessaire.</w:t>
            </w:r>
          </w:p>
        </w:tc>
        <w:tc>
          <w:tcPr>
            <w:tcW w:w="4678" w:type="dxa"/>
            <w:shd w:val="clear" w:color="auto" w:fill="auto"/>
          </w:tcPr>
          <w:p w14:paraId="34BF0FCF" w14:textId="77777777">
            <w:pPr>
              <w:spacing w:before="100" w:beforeAutospacing="1" w:after="100" w:afterAutospacing="1"/>
              <w:rPr>
                <w:rFonts w:ascii="Arial" w:hAnsi="Arial"/>
                <w:snapToGrid/>
              </w:rPr>
            </w:pPr>
          </w:p>
        </w:tc>
      </w:tr>
    </w:tbl>
    <w:p w14:paraId="26D1F3EF" w14:textId="77777777">
      <w:pPr>
        <w:spacing w:before="240" w:after="60"/>
        <w:jc w:val="center"/>
        <w:outlineLvl w:val="0"/>
        <w:rPr>
          <w:rFonts w:ascii="Arial" w:hAnsi="Arial" w:cs="Arial"/>
          <w:b/>
          <w:snapToGrid/>
          <w:kern w:val="28"/>
        </w:rPr>
        <w:pStyle w:val="P68B1DB1-Normal3"/>
      </w:pPr>
      <w:r>
        <w:t xml:space="preserve">V – Effet d’exclusion </w:t>
      </w:r>
    </w:p>
    <w:p w14:paraId="5F87EC7E" w14:textId="77777777">
      <w:pPr>
        <w:spacing w:before="240" w:after="120"/>
        <w:jc w:val="both"/>
        <w:outlineLvl w:val="0"/>
        <w:rPr>
          <w:rFonts w:ascii="Arial" w:hAnsi="Arial" w:cs="Arial"/>
          <w:snapToGrid/>
          <w:kern w:val="28"/>
        </w:rPr>
        <w:pStyle w:val="P68B1DB1-Normal18"/>
      </w:pPr>
      <w:r>
        <w:t xml:space="preserve">Le pouvoir adjudicateur exclut l’opérateur économique de la participation à une procédure de passation de marché si:</w:t>
      </w:r>
    </w:p>
    <w:p w14:paraId="7C88815A" w14:textId="77777777">
      <w:pPr>
        <w:numPr>
          <w:ilvl w:val="0"/>
          <w:numId w:val="13"/>
        </w:numPr>
        <w:spacing w:after="120"/>
        <w:ind w:left="714" w:hanging="357"/>
        <w:jc w:val="both"/>
        <w:rPr>
          <w:rFonts w:ascii="Arial" w:hAnsi="Arial" w:cs="Arial" w:eastAsia="Calibri"/>
          <w:snapToGrid/>
        </w:rPr>
        <w:pStyle w:val="P68B1DB1-Normal10"/>
      </w:pPr>
      <w:r>
        <w:rPr>
          <w:rFonts w:ascii="Arial" w:hAnsi="Arial" w:cs="Arial"/>
        </w:rPr>
        <w:t xml:space="preserve">le pouvoir adjudicateur a établi par vérification, ou a connaissance d’une autre manière, que l’opérateur économique se trouve dans l’une des situations énumérées aux </w:t>
      </w:r>
      <w:r>
        <w:rPr>
          <w:rFonts w:ascii="Arial" w:hAnsi="Arial" w:cs="Arial" w:eastAsia="Calibri"/>
          <w:b/>
        </w:rPr>
        <w:t xml:space="preserve">sections I à II de la présente déclaration,</w:t>
      </w:r>
      <w:r>
        <w:rPr>
          <w:rFonts w:ascii="Arial" w:hAnsi="Arial" w:cs="Arial" w:eastAsia="Calibri"/>
        </w:rPr>
        <w:t xml:space="preserve"> </w:t>
      </w:r>
      <w:r>
        <w:rPr>
          <w:rFonts w:ascii="Arial" w:hAnsi="Arial" w:cs="Arial" w:eastAsia="Calibri"/>
          <w:u w:val="single"/>
        </w:rPr>
        <w:t>et</w:t>
      </w:r>
    </w:p>
    <w:p w14:paraId="1BD742E6" w14:textId="77777777">
      <w:pPr>
        <w:numPr>
          <w:ilvl w:val="0"/>
          <w:numId w:val="13"/>
        </w:numPr>
        <w:spacing w:after="120"/>
        <w:ind w:left="714" w:hanging="357"/>
        <w:jc w:val="both"/>
        <w:rPr>
          <w:rFonts w:ascii="Arial" w:hAnsi="Arial" w:cs="Arial" w:eastAsia="Calibri"/>
          <w:snapToGrid/>
        </w:rPr>
        <w:pStyle w:val="P68B1DB1-Normal10"/>
      </w:pPr>
      <w:r>
        <w:rPr>
          <w:rFonts w:ascii="Arial" w:hAnsi="Arial" w:cs="Arial" w:eastAsia="Calibri"/>
        </w:rPr>
        <w:t xml:space="preserve">dans le cas de la sous-section ii du </w:t>
      </w:r>
      <w:r>
        <w:rPr>
          <w:rFonts w:ascii="Arial" w:hAnsi="Arial" w:cs="Arial"/>
          <w:color w:val="000000"/>
        </w:rPr>
        <w:t xml:space="preserve">point I.D b) (sanctions américaines),</w:t>
      </w:r>
      <w:r>
        <w:rPr>
          <w:rFonts w:ascii="Arial" w:hAnsi="Arial" w:cs="Arial"/>
        </w:rPr>
        <w:t xml:space="preserve">1) le contrat proposé pour lequel l’opérateur économique demande un lien avec les États-Unis,</w:t>
        <w:footnoteReference w:id="3"/>
        <w:t xml:space="preserve"> ou 2) la sanction ou la mesure restrictive en question n’est </w:t>
      </w:r>
      <w:hyperlink r:id="rId7" w:history="1">
        <w:r>
          <w:rPr>
            <w:rFonts w:ascii="Arial" w:hAnsi="Arial" w:cs="Arial" w:eastAsia="Calibri"/>
          </w:rPr>
          <w:t xml:space="preserve">pas contraire au règlement (CE) n° 2271/96 de l’UE</w:t>
        </w:r>
      </w:hyperlink>
      <w:r>
        <w:rPr>
          <w:rFonts w:ascii="Arial" w:hAnsi="Arial" w:cs="Arial" w:eastAsia="Calibri"/>
        </w:rPr>
        <w:t xml:space="preserve"> («règlement de blocage»), tel que modifié de temps à autre, </w:t>
      </w:r>
      <w:r>
        <w:rPr>
          <w:rFonts w:ascii="Arial" w:hAnsi="Arial" w:cs="Arial" w:eastAsia="Calibri"/>
          <w:u w:val="single"/>
        </w:rPr>
        <w:t>et</w:t>
      </w:r>
      <w:r>
        <w:rPr>
          <w:rFonts w:ascii="Arial" w:hAnsi="Arial" w:cs="Arial" w:eastAsia="Calibri"/>
        </w:rPr>
        <w:t xml:space="preserve"> </w:t>
      </w:r>
    </w:p>
    <w:p w14:paraId="2C2E25EE" w14:textId="77777777">
      <w:pPr>
        <w:numPr>
          <w:ilvl w:val="0"/>
          <w:numId w:val="13"/>
        </w:numPr>
        <w:spacing w:after="120"/>
        <w:ind w:left="714" w:hanging="357"/>
        <w:jc w:val="both"/>
        <w:rPr>
          <w:rFonts w:ascii="Arial" w:hAnsi="Arial" w:cs="Arial" w:eastAsia="Calibri"/>
          <w:b/>
        </w:rPr>
        <w:pStyle w:val="P68B1DB1-Normal16"/>
      </w:pPr>
      <w:r>
        <w:t xml:space="preserve">si des mesures correctives sont proposées conformément à la section III de la présente déclaration, ces mesures ne sont pas, à la satisfaction du pouvoir adjudicateur, suffisantes pour démontrer la fiabilité de l’opérateur économique.</w:t>
      </w:r>
    </w:p>
    <w:p w14:paraId="0171F408" w14:textId="77777777">
      <w:pPr>
        <w:ind w:left="360" w:right="-35"/>
        <w:jc w:val="both"/>
        <w:rPr>
          <w:rFonts w:ascii="Arial" w:hAnsi="Arial" w:cs="Arial"/>
          <w:b/>
          <w:sz w:val="22"/>
          <w:highlight w:val="yellow"/>
        </w:rPr>
      </w:pPr>
    </w:p>
    <w:p w14:paraId="0BAB7ED9" w14:textId="77777777">
      <w:pPr>
        <w:ind w:left="360" w:right="-35"/>
        <w:jc w:val="both"/>
        <w:rPr>
          <w:rFonts w:ascii="Arial" w:hAnsi="Arial" w:cs="Arial"/>
          <w:b/>
          <w:sz w:val="22"/>
        </w:rPr>
        <w:pStyle w:val="P68B1DB1-Normal19"/>
      </w:pPr>
      <w:r>
        <w:rPr>
          <w:highlight w:val="yellow"/>
        </w:rPr>
        <w:t xml:space="preserve">[Section VI à inclure uniquement si les preuves documentaires concernant les critères de sélection ne doivent pas être fournies avec l’offre – sinon DELETE]</w:t>
      </w:r>
      <w:r>
        <w:t xml:space="preserve">  </w:t>
      </w:r>
    </w:p>
    <w:p w14:paraId="4D2DF731" w14:textId="77777777">
      <w:pPr>
        <w:spacing w:before="240" w:after="60"/>
        <w:jc w:val="center"/>
        <w:outlineLvl w:val="0"/>
        <w:rPr>
          <w:rFonts w:ascii="Arial" w:hAnsi="Arial" w:cs="Arial"/>
          <w:b/>
          <w:i/>
          <w:snapToGrid/>
          <w:kern w:val="28"/>
        </w:rPr>
        <w:pStyle w:val="P68B1DB1-Normal3"/>
      </w:pPr>
      <w:r>
        <w:t xml:space="preserve">VI – Critères de sélection</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14:paraId="3A15B334" w14:textId="77777777">
        <w:tc>
          <w:tcPr>
            <w:tcW w:w="7797" w:type="dxa"/>
            <w:shd w:val="clear" w:color="auto" w:fill="auto"/>
          </w:tcPr>
          <w:p w14:paraId="7770E628" w14:textId="77777777">
            <w:pPr>
              <w:numPr>
                <w:ilvl w:val="0"/>
                <w:numId w:val="2"/>
              </w:numPr>
              <w:spacing w:before="120" w:after="120"/>
              <w:ind w:left="426" w:hanging="284"/>
              <w:jc w:val="both"/>
              <w:rPr>
                <w:rFonts w:ascii="Arial" w:hAnsi="Arial"/>
                <w:snapToGrid/>
              </w:rPr>
              <w:pStyle w:val="P68B1DB1-Normal2"/>
            </w:pPr>
            <w:r>
              <w:t xml:space="preserve"> déclare que l’opérateur économique susmentionné satisfait aux critères de sélection qui lui sont applicables individuellement, tels que prévus dans le cahier des charges:</w:t>
            </w:r>
          </w:p>
        </w:tc>
        <w:tc>
          <w:tcPr>
            <w:tcW w:w="661" w:type="dxa"/>
            <w:shd w:val="clear" w:color="auto" w:fill="auto"/>
          </w:tcPr>
          <w:p w14:paraId="413A7C79" w14:textId="77777777">
            <w:pPr>
              <w:spacing w:before="240" w:after="120"/>
              <w:jc w:val="both"/>
              <w:rPr>
                <w:rFonts w:ascii="Arial" w:hAnsi="Arial"/>
                <w:snapToGrid/>
              </w:rPr>
              <w:pStyle w:val="P68B1DB1-Normal2"/>
            </w:pPr>
            <w:r>
              <w:t>OUI</w:t>
            </w:r>
          </w:p>
        </w:tc>
        <w:tc>
          <w:tcPr>
            <w:tcW w:w="661" w:type="dxa"/>
            <w:shd w:val="clear" w:color="auto" w:fill="auto"/>
          </w:tcPr>
          <w:p w14:paraId="7BC6162E" w14:textId="77777777">
            <w:pPr>
              <w:spacing w:before="240" w:after="120"/>
              <w:jc w:val="both"/>
              <w:rPr>
                <w:rFonts w:ascii="Arial" w:hAnsi="Arial"/>
                <w:snapToGrid/>
              </w:rPr>
              <w:pStyle w:val="P68B1DB1-Normal2"/>
            </w:pPr>
            <w:r>
              <w:t>NON</w:t>
            </w:r>
          </w:p>
        </w:tc>
        <w:tc>
          <w:tcPr>
            <w:tcW w:w="662" w:type="dxa"/>
            <w:shd w:val="clear" w:color="auto" w:fill="auto"/>
          </w:tcPr>
          <w:p w14:paraId="794DD5F3" w14:textId="77777777">
            <w:pPr>
              <w:spacing w:before="240" w:after="120"/>
              <w:jc w:val="both"/>
              <w:rPr>
                <w:rFonts w:ascii="Arial" w:hAnsi="Arial"/>
                <w:snapToGrid/>
              </w:rPr>
              <w:pStyle w:val="P68B1DB1-Normal2"/>
            </w:pPr>
            <w:r>
              <w:t xml:space="preserve">Sans objet</w:t>
            </w:r>
          </w:p>
        </w:tc>
      </w:tr>
      <w:tr w14:paraId="6F52A756" w14:textId="77777777">
        <w:tc>
          <w:tcPr>
            <w:tcW w:w="7797" w:type="dxa"/>
            <w:shd w:val="clear" w:color="auto" w:fill="auto"/>
          </w:tcPr>
          <w:p w14:paraId="6D88A954" w14:textId="77777777">
            <w:pPr>
              <w:numPr>
                <w:ilvl w:val="0"/>
                <w:numId w:val="3"/>
              </w:numPr>
              <w:tabs>
                <w:tab w:val="num" w:pos="-1560"/>
              </w:tabs>
              <w:spacing w:before="40" w:after="40"/>
              <w:ind w:left="426" w:hanging="284"/>
              <w:jc w:val="both"/>
              <w:rPr>
                <w:rFonts w:ascii="Arial" w:hAnsi="Arial"/>
                <w:snapToGrid/>
              </w:rPr>
              <w:pStyle w:val="P68B1DB1-Normal2"/>
            </w:pPr>
            <w:r>
              <w:t xml:space="preserve"> elle a la capacité juridique et réglementaire d’exercer l’activité professionnelle nécessaire à l’exécution du marché, comme l’exige la section [</w:t>
            </w:r>
            <w:r>
              <w:rPr>
                <w:i/>
                <w:highlight w:val="lightGray"/>
              </w:rPr>
              <w:t>insérer</w:t>
            </w:r>
            <w:r>
              <w:t xml:space="preserve">] du cahier des charges;</w:t>
            </w:r>
          </w:p>
        </w:tc>
        <w:tc>
          <w:tcPr>
            <w:tcW w:w="661" w:type="dxa"/>
            <w:shd w:val="clear" w:color="auto" w:fill="auto"/>
          </w:tcPr>
          <w:p w14:paraId="2ED4FABF"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3BA4355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259F6782"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3AC0019F" w14:textId="77777777">
        <w:tc>
          <w:tcPr>
            <w:tcW w:w="7797" w:type="dxa"/>
            <w:shd w:val="clear" w:color="auto" w:fill="auto"/>
          </w:tcPr>
          <w:p w14:paraId="50EA8886" w14:textId="77777777">
            <w:pPr>
              <w:numPr>
                <w:ilvl w:val="0"/>
                <w:numId w:val="3"/>
              </w:numPr>
              <w:tabs>
                <w:tab w:val="num" w:pos="-1560"/>
              </w:tabs>
              <w:spacing w:before="40" w:after="40"/>
              <w:ind w:left="426" w:hanging="284"/>
              <w:jc w:val="both"/>
              <w:rPr>
                <w:rFonts w:ascii="Arial" w:hAnsi="Arial"/>
                <w:snapToGrid/>
              </w:rPr>
              <w:pStyle w:val="P68B1DB1-Normal2"/>
            </w:pPr>
            <w:r>
              <w:t xml:space="preserve"> elle remplit les critères économiques et financiers applicables indiqués à la section [</w:t>
            </w:r>
            <w:r>
              <w:rPr>
                <w:i/>
                <w:highlight w:val="lightGray"/>
              </w:rPr>
              <w:t>insérer</w:t>
            </w:r>
            <w:r>
              <w:t xml:space="preserve">] du cahier des charges;</w:t>
            </w:r>
          </w:p>
        </w:tc>
        <w:tc>
          <w:tcPr>
            <w:tcW w:w="661" w:type="dxa"/>
            <w:shd w:val="clear" w:color="auto" w:fill="auto"/>
          </w:tcPr>
          <w:p w14:paraId="5084674D"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027BE106"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657453C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r w14:paraId="1BF428F5" w14:textId="77777777">
        <w:tc>
          <w:tcPr>
            <w:tcW w:w="7797" w:type="dxa"/>
            <w:shd w:val="clear" w:color="auto" w:fill="auto"/>
          </w:tcPr>
          <w:p w14:paraId="730AFDEF" w14:textId="77777777">
            <w:pPr>
              <w:numPr>
                <w:ilvl w:val="0"/>
                <w:numId w:val="3"/>
              </w:numPr>
              <w:spacing w:before="40" w:after="40"/>
              <w:ind w:left="426" w:hanging="284"/>
              <w:jc w:val="both"/>
              <w:rPr>
                <w:rFonts w:ascii="Arial" w:hAnsi="Arial"/>
                <w:snapToGrid/>
              </w:rPr>
              <w:pStyle w:val="P68B1DB1-Normal2"/>
            </w:pPr>
            <w:r>
              <w:t xml:space="preserve"> Il remplit les critères techniques et professionnels applicables indiqués au point [</w:t>
            </w:r>
            <w:r>
              <w:rPr>
                <w:i/>
                <w:highlight w:val="lightGray"/>
              </w:rPr>
              <w:t>insérer</w:t>
            </w:r>
            <w:r>
              <w:t xml:space="preserve">] du cahier des charges.</w:t>
            </w:r>
          </w:p>
        </w:tc>
        <w:tc>
          <w:tcPr>
            <w:tcW w:w="661" w:type="dxa"/>
            <w:shd w:val="clear" w:color="auto" w:fill="auto"/>
          </w:tcPr>
          <w:p w14:paraId="07BCBD7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1" w:type="dxa"/>
            <w:shd w:val="clear" w:color="auto" w:fill="auto"/>
          </w:tcPr>
          <w:p w14:paraId="6EBDAA57"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62" w:type="dxa"/>
          </w:tcPr>
          <w:p w14:paraId="7D3CAE35"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bl>
    <w:p w14:paraId="00D402AB" w14:textId="77777777">
      <w:pPr>
        <w:rPr>
          <w:rFonts w:ascii="Arial" w:hAnsi="Arial"/>
          <w:snapToGrid/>
        </w:rPr>
      </w:pPr>
    </w:p>
    <w:p w14:paraId="60770E6B" w14:textId="77777777">
      <w:pPr>
        <w:ind w:right="-35"/>
        <w:jc w:val="both"/>
        <w:rPr>
          <w:rFonts w:ascii="Arial" w:hAnsi="Arial" w:cs="Arial"/>
          <w:b/>
          <w:highlight w:val="yellow"/>
        </w:rPr>
        <w:pStyle w:val="P68B1DB1-Normal20"/>
      </w:pPr>
      <w:r>
        <w:t xml:space="preserve">[Le pouvoir adjudicateur doit adapter le tableau ci-dessus aux critères indiqués dans le cahier des charges (c’est-à-dire insérer des lignes supplémentaires pour chaque critère ou supprimer les lignes non pertinentes)] </w:t>
      </w:r>
    </w:p>
    <w:p w14:paraId="527116D5" w14:textId="77777777">
      <w:pPr>
        <w:rPr>
          <w:rFonts w:ascii="Arial" w:hAnsi="Arial"/>
          <w:snapToGrid/>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14:paraId="0F01A558" w14:textId="77777777">
        <w:tc>
          <w:tcPr>
            <w:tcW w:w="7745" w:type="dxa"/>
            <w:shd w:val="clear" w:color="auto" w:fill="auto"/>
          </w:tcPr>
          <w:p w14:paraId="5785C743" w14:textId="77777777">
            <w:pPr>
              <w:numPr>
                <w:ilvl w:val="0"/>
                <w:numId w:val="2"/>
              </w:numPr>
              <w:spacing w:before="120" w:after="120"/>
              <w:ind w:left="426" w:hanging="284"/>
              <w:jc w:val="both"/>
              <w:rPr>
                <w:rFonts w:ascii="Arial" w:hAnsi="Arial"/>
                <w:snapToGrid/>
              </w:rPr>
              <w:pStyle w:val="P68B1DB1-Normal2"/>
            </w:pPr>
            <w:r>
              <w:t xml:space="preserve"> si l’opérateur économique est le </w:t>
            </w:r>
            <w:r>
              <w:rPr>
                <w:b/>
              </w:rPr>
              <w:t xml:space="preserve">soumissionnaire unique</w:t>
            </w:r>
            <w:r>
              <w:t xml:space="preserve"> ou le </w:t>
            </w:r>
            <w:r>
              <w:rPr>
                <w:b/>
              </w:rPr>
              <w:t xml:space="preserve">chef de file en cas d’offre conjointe,</w:t>
            </w:r>
            <w:r>
              <w:t xml:space="preserve"> déclare que:</w:t>
            </w:r>
          </w:p>
        </w:tc>
        <w:tc>
          <w:tcPr>
            <w:tcW w:w="677" w:type="dxa"/>
            <w:shd w:val="clear" w:color="auto" w:fill="auto"/>
          </w:tcPr>
          <w:p w14:paraId="423A4608" w14:textId="77777777">
            <w:pPr>
              <w:spacing w:before="240" w:after="120"/>
              <w:jc w:val="both"/>
              <w:rPr>
                <w:rFonts w:ascii="Arial" w:hAnsi="Arial"/>
                <w:snapToGrid/>
              </w:rPr>
              <w:pStyle w:val="P68B1DB1-Normal2"/>
            </w:pPr>
            <w:r>
              <w:t>OUI</w:t>
            </w:r>
          </w:p>
        </w:tc>
        <w:tc>
          <w:tcPr>
            <w:tcW w:w="677" w:type="dxa"/>
            <w:shd w:val="clear" w:color="auto" w:fill="auto"/>
          </w:tcPr>
          <w:p w14:paraId="509D81F0" w14:textId="77777777">
            <w:pPr>
              <w:spacing w:before="240" w:after="120"/>
              <w:jc w:val="both"/>
              <w:rPr>
                <w:rFonts w:ascii="Arial" w:hAnsi="Arial"/>
                <w:snapToGrid/>
              </w:rPr>
              <w:pStyle w:val="P68B1DB1-Normal2"/>
            </w:pPr>
            <w:r>
              <w:t>NON</w:t>
            </w:r>
          </w:p>
        </w:tc>
        <w:tc>
          <w:tcPr>
            <w:tcW w:w="677" w:type="dxa"/>
            <w:shd w:val="clear" w:color="auto" w:fill="auto"/>
          </w:tcPr>
          <w:p w14:paraId="458EB6A5" w14:textId="77777777">
            <w:pPr>
              <w:spacing w:before="240" w:after="120"/>
              <w:jc w:val="both"/>
              <w:rPr>
                <w:rFonts w:ascii="Arial" w:hAnsi="Arial"/>
                <w:snapToGrid/>
              </w:rPr>
              <w:pStyle w:val="P68B1DB1-Normal2"/>
            </w:pPr>
            <w:r>
              <w:t xml:space="preserve">Sans objet</w:t>
            </w:r>
          </w:p>
        </w:tc>
      </w:tr>
      <w:tr w14:paraId="2C1D08B1" w14:textId="77777777">
        <w:tc>
          <w:tcPr>
            <w:tcW w:w="7745" w:type="dxa"/>
            <w:shd w:val="clear" w:color="auto" w:fill="auto"/>
          </w:tcPr>
          <w:p w14:paraId="4D30ECCC" w14:textId="77777777">
            <w:pPr>
              <w:numPr>
                <w:ilvl w:val="0"/>
                <w:numId w:val="3"/>
              </w:numPr>
              <w:tabs>
                <w:tab w:val="num" w:pos="-851"/>
              </w:tabs>
              <w:spacing w:before="40" w:after="40"/>
              <w:ind w:left="426" w:hanging="284"/>
              <w:jc w:val="both"/>
              <w:rPr>
                <w:rFonts w:ascii="Arial" w:hAnsi="Arial"/>
                <w:snapToGrid/>
              </w:rPr>
              <w:pStyle w:val="P68B1DB1-Normal2"/>
            </w:pPr>
            <w:r>
              <w:t xml:space="preserve"> le soumissionnaire, y compris tous les membres du groupement en cas d’offre conjointe et, le cas échéant, les sous-traitants, satisfait à tous les critères de sélection pour lesquels une évaluation consolidée sera effectuée conformément au cahier des charges.</w:t>
            </w:r>
          </w:p>
        </w:tc>
        <w:tc>
          <w:tcPr>
            <w:tcW w:w="677" w:type="dxa"/>
            <w:shd w:val="clear" w:color="auto" w:fill="auto"/>
          </w:tcPr>
          <w:p w14:paraId="68F9210E"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77" w:type="dxa"/>
            <w:shd w:val="clear" w:color="auto" w:fill="auto"/>
          </w:tcPr>
          <w:p w14:paraId="3875F2D9"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c>
          <w:tcPr>
            <w:tcW w:w="677" w:type="dxa"/>
          </w:tcPr>
          <w:p w14:paraId="1FF243BA" w14:textId="77777777">
            <w:pPr>
              <w:spacing w:before="240" w:after="120"/>
              <w:jc w:val="both"/>
              <w:rPr>
                <w:rFonts w:ascii="Arial" w:hAnsi="Arial"/>
                <w:snapToGrid/>
              </w:rPr>
              <w:pStyle w:val="P68B1DB1-Normal2"/>
            </w:pPr>
            <w:r>
              <w:fldChar w:fldCharType="begin">
                <w:ffData>
                  <w:name w:val="Check1"/>
                  <w:enabled/>
                  <w:calcOnExit w:val="0"/>
                  <w:checkBox>
                    <w:sizeAuto/>
                    <w:default w:val="0"/>
                  </w:checkBox>
                </w:ffData>
              </w:fldChar>
            </w:r>
            <w:r>
              <w:rPr>
                <w:rFonts w:ascii="Arial" w:hAnsi="Arial"/>
                <w:snapToGrid/>
              </w:rPr>
              <w:instrText xml:space="preserve"> FORMCHECKBOX </w:instrText>
            </w:r>
            <w:r>
              <w:rPr>
                <w:rFonts w:ascii="Arial" w:hAnsi="Arial"/>
                <w:snapToGrid/>
              </w:rPr>
            </w:r>
            <w:r>
              <w:rPr>
                <w:rFonts w:ascii="Arial" w:hAnsi="Arial"/>
                <w:snapToGrid/>
              </w:rPr>
              <w:fldChar w:fldCharType="separate"/>
            </w:r>
            <w:r>
              <w:rPr>
                <w:rFonts w:ascii="Arial" w:hAnsi="Arial"/>
                <w:snapToGrid/>
              </w:rPr>
              <w:fldChar w:fldCharType="end"/>
            </w:r>
          </w:p>
        </w:tc>
      </w:tr>
    </w:tbl>
    <w:p w14:paraId="70E34B22" w14:textId="77777777">
      <w:pPr>
        <w:spacing w:before="240" w:after="60"/>
        <w:jc w:val="center"/>
        <w:outlineLvl w:val="0"/>
        <w:rPr>
          <w:rFonts w:ascii="Arial" w:hAnsi="Arial" w:cs="Arial"/>
          <w:b/>
          <w:i/>
          <w:snapToGrid/>
          <w:kern w:val="28"/>
        </w:rPr>
        <w:pStyle w:val="P68B1DB1-Normal3"/>
      </w:pPr>
      <w:r>
        <w:t xml:space="preserve">VII – Preuves de sélection</w:t>
      </w:r>
    </w:p>
    <w:p w14:paraId="5AC65993" w14:textId="77777777">
      <w:pPr>
        <w:spacing w:before="100" w:beforeAutospacing="1" w:after="100" w:afterAutospacing="1"/>
        <w:jc w:val="both"/>
        <w:rPr>
          <w:rFonts w:ascii="Arial" w:hAnsi="Arial"/>
          <w:snapToGrid/>
        </w:rPr>
        <w:pStyle w:val="P68B1DB1-Normal2"/>
      </w:pPr>
      <w:r>
        <w:t xml:space="preserve">Le signataire déclare que l’opérateur économique est en mesure de fournir les documents justificatifs nécessaires énumérés dans les sections pertinentes du cahier des charges et qui ne sont pas disponibles par voie électronique sur demande et sans délai.</w:t>
      </w:r>
    </w:p>
    <w:p w14:paraId="066750EB" w14:textId="77777777">
      <w:pPr>
        <w:spacing w:before="100" w:beforeAutospacing="1" w:after="100" w:afterAutospacing="1"/>
        <w:jc w:val="both"/>
        <w:rPr>
          <w:rFonts w:ascii="Arial" w:hAnsi="Arial"/>
          <w:snapToGrid/>
        </w:rPr>
        <w:pStyle w:val="P68B1DB1-Normal2"/>
      </w:pPr>
      <w:r>
        <w:t xml:space="preserve">L’opérateur économique n’est pas tenu de fournir les éléments de preuve s’ils ont déjà été présentés dans le cadre d’une autre procédure de passation de marché. Les documents doivent avoir été délivrés au plus tard un an avant la date de leur demande par le pouvoir adjudicateur et doivent toujours être valables à cette date. </w:t>
      </w:r>
    </w:p>
    <w:p w14:paraId="44980C28" w14:textId="77777777">
      <w:pPr>
        <w:spacing w:before="100" w:beforeAutospacing="1" w:after="100" w:afterAutospacing="1"/>
        <w:jc w:val="both"/>
        <w:rPr>
          <w:rFonts w:ascii="Arial" w:hAnsi="Arial"/>
          <w:snapToGrid/>
        </w:rPr>
        <w:pStyle w:val="P68B1DB1-Normal2"/>
      </w:pPr>
      <w:r>
        <w:t xml:space="preserve">Le signataire déclare que l’opérateur économique a déjà fourni les preuves documentaires d’une procédure antérieure et confirme que sa situation n’a pas changé: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14:paraId="4FD608AD" w14:textId="77777777">
        <w:tc>
          <w:tcPr>
            <w:tcW w:w="4786" w:type="dxa"/>
            <w:shd w:val="clear" w:color="auto" w:fill="auto"/>
          </w:tcPr>
          <w:p w14:paraId="18172AA2" w14:textId="77777777">
            <w:pPr>
              <w:spacing w:before="100" w:beforeAutospacing="1" w:after="100" w:afterAutospacing="1"/>
              <w:jc w:val="center"/>
              <w:rPr>
                <w:rFonts w:ascii="Arial" w:hAnsi="Arial"/>
                <w:b/>
                <w:snapToGrid/>
              </w:rPr>
              <w:pStyle w:val="P68B1DB1-Normal5"/>
            </w:pPr>
            <w:r>
              <w:t>Document</w:t>
            </w:r>
          </w:p>
        </w:tc>
        <w:tc>
          <w:tcPr>
            <w:tcW w:w="4678" w:type="dxa"/>
            <w:shd w:val="clear" w:color="auto" w:fill="auto"/>
          </w:tcPr>
          <w:p w14:paraId="4BCB42FF" w14:textId="77777777">
            <w:pPr>
              <w:spacing w:before="100" w:beforeAutospacing="1" w:after="100" w:afterAutospacing="1"/>
              <w:jc w:val="center"/>
              <w:rPr>
                <w:rFonts w:ascii="Arial" w:hAnsi="Arial"/>
                <w:b/>
                <w:snapToGrid/>
              </w:rPr>
              <w:pStyle w:val="P68B1DB1-Normal5"/>
            </w:pPr>
            <w:r>
              <w:t xml:space="preserve">Référence complète à la procédure précédente</w:t>
            </w:r>
          </w:p>
        </w:tc>
      </w:tr>
      <w:tr w14:paraId="28F13B1E" w14:textId="77777777">
        <w:tc>
          <w:tcPr>
            <w:tcW w:w="4786" w:type="dxa"/>
            <w:shd w:val="clear" w:color="auto" w:fill="auto"/>
          </w:tcPr>
          <w:p w14:paraId="6117BF18" w14:textId="77777777">
            <w:pPr>
              <w:spacing w:before="100" w:beforeAutospacing="1" w:after="100" w:afterAutospacing="1"/>
              <w:rPr>
                <w:rFonts w:ascii="Arial" w:hAnsi="Arial"/>
                <w:snapToGrid/>
              </w:rPr>
              <w:pStyle w:val="P68B1DB1-Normal17"/>
            </w:pPr>
            <w:r>
              <w:t xml:space="preserve">Insérez autant de lignes que nécessaire.</w:t>
            </w:r>
          </w:p>
        </w:tc>
        <w:tc>
          <w:tcPr>
            <w:tcW w:w="4678" w:type="dxa"/>
            <w:shd w:val="clear" w:color="auto" w:fill="auto"/>
          </w:tcPr>
          <w:p w14:paraId="670AEB49" w14:textId="77777777">
            <w:pPr>
              <w:spacing w:before="100" w:beforeAutospacing="1" w:after="100" w:afterAutospacing="1"/>
              <w:rPr>
                <w:rFonts w:ascii="Arial" w:hAnsi="Arial"/>
                <w:snapToGrid/>
              </w:rPr>
            </w:pPr>
          </w:p>
        </w:tc>
      </w:tr>
    </w:tbl>
    <w:p w14:paraId="4975C171" w14:textId="77777777">
      <w:pPr>
        <w:spacing w:before="40" w:after="40"/>
        <w:jc w:val="both"/>
        <w:rPr>
          <w:rFonts w:ascii="Arial" w:hAnsi="Arial"/>
          <w:snapToGrid/>
        </w:rPr>
      </w:pPr>
    </w:p>
    <w:p w14:paraId="458AFA32" w14:textId="77777777">
      <w:pPr>
        <w:spacing w:before="40" w:after="40"/>
        <w:jc w:val="both"/>
        <w:rPr>
          <w:rFonts w:ascii="Arial" w:hAnsi="Arial"/>
          <w:b/>
          <w:i/>
          <w:snapToGrid/>
        </w:rPr>
        <w:pStyle w:val="P68B1DB1-Normal21"/>
      </w:pPr>
      <w:r>
        <w:t xml:space="preserve">L’opérateur économique peut faire l’objet d’un rejet de cette procédure et de sanctions administratives (exclusion ou sanction financière) si l’une des déclarations ou informations fournies comme condition de participation à cette procédure s’avère fausse.</w:t>
      </w:r>
    </w:p>
    <w:p w14:paraId="7FAD2A73" w14:textId="77777777">
      <w:pPr>
        <w:spacing w:before="40" w:after="40"/>
        <w:jc w:val="both"/>
        <w:rPr>
          <w:rFonts w:ascii="Arial" w:hAnsi="Arial"/>
          <w:snapToGrid/>
        </w:rPr>
      </w:pPr>
    </w:p>
    <w:p w14:paraId="31427943" w14:textId="77777777">
      <w:pPr>
        <w:tabs>
          <w:tab w:val="left" w:pos="4395"/>
          <w:tab w:val="left" w:pos="7797"/>
        </w:tabs>
        <w:spacing w:before="40" w:after="40"/>
        <w:jc w:val="both"/>
        <w:rPr>
          <w:rFonts w:ascii="Arial" w:hAnsi="Arial"/>
          <w:snapToGrid/>
        </w:rPr>
        <w:pStyle w:val="P68B1DB1-Normal2"/>
      </w:pPr>
      <w:r>
        <w:t xml:space="preserve">Nom complet</w:t>
        <w:tab/>
        <w:t>Date</w:t>
        <w:tab/>
        <w:t>Signature</w:t>
      </w:r>
    </w:p>
    <w:p w14:paraId="5E32C000" w14:textId="77777777">
      <w:pPr>
        <w:rPr>
          <w:rFonts w:ascii="Arial" w:hAnsi="Arial"/>
          <w:snapToGrid/>
          <w:sz w:val="22"/>
        </w:rPr>
      </w:pPr>
    </w:p>
    <w:p w14:paraId="5BFCB6D6" w14:textId="77777777">
      <w:pPr>
        <w:rPr>
          <w:rFonts w:ascii="Cambria" w:hAnsi="Cambria" w:cs="Arial"/>
          <w:snapToGrid/>
          <w:sz w:val="22"/>
        </w:rPr>
        <w:pStyle w:val="P68B1DB1-Normal22"/>
      </w:pPr>
      <w:r>
        <w:t xml:space="preserve"> </w:t>
        <w:tab/>
      </w:r>
      <w:bookmarkEnd w:id="0"/>
    </w:p>
    <w:p w14:paraId="2106F5DD" w14:textId="77777777"/>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DF729" w14:textId="77777777">
      <w:r>
        <w:separator/>
      </w:r>
    </w:p>
  </w:endnote>
  <w:endnote w:type="continuationSeparator" w:id="0">
    <w:p w14:paraId="7909FB6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F11EE" w14:textId="77777777">
      <w:r>
        <w:separator/>
      </w:r>
    </w:p>
  </w:footnote>
  <w:footnote w:type="continuationSeparator" w:id="0">
    <w:p w14:paraId="0016E7C2" w14:textId="77777777">
      <w:r>
        <w:continuationSeparator/>
      </w:r>
    </w:p>
  </w:footnote>
  <w:footnote w:id="1">
    <w:p w14:paraId="08FF0CBB" w14:textId="77777777">
      <w:pPr>
        <w:pStyle w:val="FootnoteText"/>
        <w:ind w:right="-35"/>
        <w:jc w:val="both"/>
        <w:rPr>
          <w:rFonts w:cs="Arial"/>
          <w:sz w:val="16"/>
        </w:rPr>
      </w:pPr>
      <w:r>
        <w:rPr>
          <w:rStyle w:val="FootnoteReference"/>
          <w:rFonts w:cs="Arial"/>
          <w:sz w:val="16"/>
        </w:rPr>
        <w:footnoteRef/>
        <w:t xml:space="preserve"> </w:t>
      </w:r>
      <w:r>
        <w:rPr>
          <w:rFonts w:cs="Arial"/>
          <w:sz w:val="16"/>
        </w:rPr>
        <w:t xml:space="preserve">Par “cible</w:t>
      </w:r>
      <w:r>
        <w:rPr>
          <w:rFonts w:cs="Arial"/>
          <w:b/>
          <w:sz w:val="16"/>
        </w:rPr>
        <w:t xml:space="preserve">d’une sanction ou d’une mesure restrictive”,</w:t>
      </w:r>
      <w:r>
        <w:rPr>
          <w:rFonts w:cs="Arial"/>
          <w:sz w:val="16"/>
        </w:rPr>
        <w:t xml:space="preserve">on entend l’opérateur économique i) inscrit sur une liste de sanctions, ou ii) détenu ou contrôlé (directement ou indirectement) à 50 % ou plus (individuellement ou globalement) par une personne ou une entité figurant sur une liste de sanctions, ou agissant pour le compte ou sur les instructions d’une telle personne ou entité, ou iii) établi ou résidant dans un pays soumis à des sanctions, ou organisé ou constitué en société en vertu de la législation d’un pays soumis à des sanctions, ou détenu ou contrôlé par une telle personne ou entité, ou agissant pour le compte ou sur les instructions d’une telle personne ou entité. Par “pays</w:t>
      </w:r>
      <w:r>
        <w:rPr>
          <w:rFonts w:cs="Arial"/>
          <w:b/>
          <w:sz w:val="16"/>
        </w:rPr>
        <w:t>sanctionné”,</w:t>
      </w:r>
      <w:r>
        <w:rPr>
          <w:rFonts w:cs="Arial"/>
          <w:sz w:val="16"/>
        </w:rPr>
        <w:t xml:space="preserve">on entend un pays ou territoire qui est, ou dont le gouvernement est, à tout moment, la cible d’une sanction ou d’une mesure restrictive globale à l’échelle du pays ou du territoire imposée ou administrée par les autorités compétentes décrites dans la présente sous-section (b).</w:t>
      </w:r>
    </w:p>
  </w:footnote>
  <w:footnote w:id="2">
    <w:p w14:paraId="3B98255F" w14:textId="77777777">
      <w:pPr>
        <w:pStyle w:val="FootnoteText"/>
        <w:ind w:right="-35"/>
        <w:jc w:val="both"/>
        <w:rPr>
          <w:rFonts w:cs="Arial"/>
          <w:sz w:val="16"/>
        </w:rPr>
      </w:pPr>
      <w:r>
        <w:rPr>
          <w:rStyle w:val="FootnoteReference"/>
          <w:rFonts w:cs="Arial"/>
          <w:sz w:val="16"/>
        </w:rPr>
        <w:footnoteRef/>
        <w:t xml:space="preserve"> </w:t>
      </w:r>
      <w:r>
        <w:rPr>
          <w:rFonts w:cs="Arial"/>
          <w:sz w:val="16"/>
        </w:rPr>
        <w:t xml:space="preserve">En vertu du titre V, chapitre 2, du traité sur l’Union européenne ou de l’article 215 du traité sur le fonctionnement de l’Union européenne, soit de manière autonome, soit en vertu des sanctions décidées par le Conseil de sécurité des Nations unies sur la base de l’article 41 de la charte des Nations unies.</w:t>
      </w:r>
    </w:p>
  </w:footnote>
  <w:footnote w:id="3">
    <w:p w14:paraId="56DE7345" w14:textId="77777777">
      <w:pPr>
        <w:pStyle w:val="FootnoteText"/>
        <w:jc w:val="both"/>
        <w:rPr>
          <w:rFonts w:cs="Arial"/>
          <w:sz w:val="18"/>
        </w:rPr>
      </w:pPr>
      <w:r>
        <w:rPr>
          <w:rStyle w:val="FootnoteReference"/>
          <w:rFonts w:cs="Arial"/>
          <w:sz w:val="16"/>
        </w:rPr>
        <w:footnoteRef/>
      </w:r>
      <w:r>
        <w:rPr>
          <w:rFonts w:cs="Arial"/>
          <w:sz w:val="16"/>
        </w:rPr>
        <w:t xml:space="preserve"> «</w:t>
      </w:r>
      <w:r>
        <w:rPr>
          <w:rFonts w:cs="Arial"/>
          <w:b/>
          <w:sz w:val="16"/>
        </w:rPr>
        <w:t xml:space="preserve">US Nexus</w:t>
      </w:r>
      <w:r>
        <w:rPr>
          <w:rFonts w:cs="Arial"/>
          <w:sz w:val="16"/>
        </w:rPr>
        <w:t xml:space="preserve">» désigne toute implication ou connexion des États-Unis, y compris (sans s’y limiter) : (i) toute transaction libellée en dollars des États-Unis; (ii) tout paiement dans n'importe quelle monnaie qui est compensé par le système financier américain, y compris les succursales étrangères de banques américaines et les succursales, agences ou bureaux de représentation américains ou les comptes américains d'institutions financières non américaines; et iii) toute personne américaine, y compris les institutions financières américaines, les succursales étrangères de banques américaines et les succursales, agences ou bureaux de représentation américains ou les comptes américains d’institutions financières non américaines. </w:t>
      </w:r>
    </w:p>
    <w:p w14:paraId="2EF8FC07" w14:textId="77777777">
      <w:pPr>
        <w:pStyle w:val="P68B1DB1-FootnoteText23"/>
        <w:jc w:val="both"/>
        <w:rPr>
          <w:sz w:val="16"/>
        </w:rPr>
      </w:pPr>
      <w:r>
        <w:t>“personne</w:t>
      </w:r>
      <w:r>
        <w:rPr>
          <w:b/>
        </w:rPr>
        <w:t xml:space="preserve">des États-Unis”:</w:t>
      </w:r>
      <w:r>
        <w:t xml:space="preserve"> (i) tout citoyen américain, étranger résident permanent américain ou titulaire d'une carte verte, où qu'il soit situé ou employé; (ii) toute entité organisée en vertu des lois des États-Unis ou de toute juridiction aux États-Unis, y compris les succursales étrangères d'une telle entité; et iii) toute personne physique ou morale située aux États-Unis.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6"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154509">
    <w:abstractNumId w:val="1"/>
  </w:num>
  <w:num w:numId="2" w16cid:durableId="743719650">
    <w:abstractNumId w:val="2"/>
  </w:num>
  <w:num w:numId="3" w16cid:durableId="630139020">
    <w:abstractNumId w:val="8"/>
  </w:num>
  <w:num w:numId="4" w16cid:durableId="1161432423">
    <w:abstractNumId w:val="6"/>
  </w:num>
  <w:num w:numId="5" w16cid:durableId="1645308377">
    <w:abstractNumId w:val="9"/>
  </w:num>
  <w:num w:numId="6" w16cid:durableId="2001155848">
    <w:abstractNumId w:val="10"/>
  </w:num>
  <w:num w:numId="7" w16cid:durableId="1735228744">
    <w:abstractNumId w:val="7"/>
  </w:num>
  <w:num w:numId="8" w16cid:durableId="346253571">
    <w:abstractNumId w:val="0"/>
  </w:num>
  <w:num w:numId="9" w16cid:durableId="1420563881">
    <w:abstractNumId w:val="4"/>
  </w:num>
  <w:num w:numId="10" w16cid:durableId="824669026">
    <w:abstractNumId w:val="5"/>
  </w:num>
  <w:num w:numId="11" w16cid:durableId="1468821373">
    <w:abstractNumId w:val="12"/>
  </w:num>
  <w:num w:numId="12" w16cid:durableId="1621036925">
    <w:abstractNumId w:val="11"/>
  </w:num>
  <w:num w:numId="13" w16cid:durableId="1585601873">
    <w:abstractNumId w:val="3"/>
  </w:num>
  <w:num w:numId="14" w16cid:durableId="431243787">
    <w:abstractNumId w:val="4"/>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15" w16cid:durableId="292709674">
    <w:abstractNumId w:val="4"/>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0DB"/>
    <w:rsid w:val="000C60DB"/>
    <w:rsid w:val="001E7A09"/>
    <w:rsid w:val="00244640"/>
    <w:rsid w:val="006748C4"/>
    <w:rsid w:val="0079286D"/>
    <w:rsid w:val="00CA41E6"/>
    <w:rsid w:val="00EC2E9B"/>
  </w:rsids>
  <m:mathPr>
    <m:mathFont m:val="Cambria Math"/>
    <m:brkBin m:val="before"/>
    <m:brkBinSub m:val="--"/>
    <m:smallFrac m:val="0"/>
    <m:dispDef/>
    <m:lMargin m:val="0"/>
    <m:rMargin m:val="0"/>
    <m:defJc m:val="centerGroup"/>
    <m:wrapIndent m:val="1440"/>
    <m:intLim m:val="subSup"/>
    <m:naryLim m:val="undOvr"/>
  </m:mathPr>
  <w:themeFontLang w:val="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22DA"/>
  <w15:chartTrackingRefBased/>
  <w15:docId w15:val="{941F70A3-F9EB-4D54-9142-FDABCE4D37B4}"/>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pPrDefault>
      <w:pPr>
        <w:spacing w:after="160" w:line="259" w:lineRule="auto"/>
      </w:pPr>
    </w:pPrDefault>
    <w:rPrDefault>
      <w:rPr>
        <w:rFonts w:asciiTheme="minorHAnsi" w:hAnsiTheme="minorHAnsi" w:cstheme="minorBidi" w:eastAsiaTheme="minorHAnsi"/>
        <w:sz w:val="22"/>
        <w:lang w:val="fr"/>
      </w:rPr>
    </w:r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60DB"/>
    <w:pPr>
      <w:spacing w:after="0" w:line="240" w:lineRule="auto"/>
    </w:pPr>
    <w:rPr>
      <w:rFonts w:ascii="Times New Roman" w:hAnsi="Times New Roman" w:cs="Times New Roman" w:eastAsia="Times New Roman"/>
      <w:snapToGrid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0C60DB"/>
    <w:pPr>
      <w:spacing w:after="240"/>
    </w:pPr>
    <w:rPr>
      <w:rFonts w:ascii="Arial" w:hAnsi="Arial"/>
      <w:snapToGrid/>
    </w:rPr>
  </w:style>
  <w:style w:type="character" w:customStyle="1" w:styleId="FootnoteTextChar">
    <w:name w:val="Footnote Text Char"/>
    <w:basedOn w:val="DefaultParagraphFont"/>
    <w:link w:val="FootnoteText"/>
    <w:semiHidden/>
    <w:rsid w:val="000C60DB"/>
    <w:rPr>
      <w:rFonts w:ascii="Arial" w:hAnsi="Arial" w:cs="Times New Roman" w:eastAsia="Times New Roman"/>
      <w:sz w:val="20"/>
    </w:rPr>
  </w:style>
  <w:style w:type="character" w:styleId="FootnoteReference">
    <w:name w:val="footnote reference"/>
    <w:rsid w:val="000C60DB"/>
    <w:rPr>
      <w:vertAlign w:val="superscript"/>
    </w:rPr>
  </w:style>
  <w:style w:type="paragraph" w:styleId="P68B1DB1-Normal1">
    <w:name w:val="P68B1DB1-Normal1"/>
    <w:basedOn w:val="Normal"/>
    <w:rPr>
      <w:rFonts w:ascii="Arial" w:hAnsi="Arial"/>
      <w:b/>
      <w:snapToGrid/>
      <w:sz w:val="22"/>
    </w:rPr>
  </w:style>
  <w:style w:type="paragraph" w:styleId="P68B1DB1-Normal2">
    <w:name w:val="P68B1DB1-Normal2"/>
    <w:basedOn w:val="Normal"/>
    <w:rPr>
      <w:rFonts w:ascii="Arial" w:hAnsi="Arial"/>
      <w:snapToGrid/>
    </w:rPr>
  </w:style>
  <w:style w:type="paragraph" w:styleId="P68B1DB1-Normal3">
    <w:name w:val="P68B1DB1-Normal3"/>
    <w:basedOn w:val="Normal"/>
    <w:rPr>
      <w:rFonts w:ascii="Arial" w:hAnsi="Arial" w:cs="Arial"/>
      <w:b/>
      <w:snapToGrid/>
      <w:kern w:val="28"/>
    </w:rPr>
  </w:style>
  <w:style w:type="paragraph" w:styleId="P68B1DB1-Normal4">
    <w:name w:val="P68B1DB1-Normal4"/>
    <w:basedOn w:val="Normal"/>
    <w:rPr>
      <w:b/>
      <w:snapToGrid/>
      <w:highlight w:val="lightGray"/>
    </w:rPr>
  </w:style>
  <w:style w:type="paragraph" w:styleId="P68B1DB1-Normal5">
    <w:name w:val="P68B1DB1-Normal5"/>
    <w:basedOn w:val="Normal"/>
    <w:rPr>
      <w:rFonts w:ascii="Arial" w:hAnsi="Arial"/>
      <w:b/>
      <w:snapToGrid/>
    </w:rPr>
  </w:style>
  <w:style w:type="paragraph" w:styleId="P68B1DB1-Normal6">
    <w:name w:val="P68B1DB1-Normal6"/>
    <w:basedOn w:val="Normal"/>
    <w:rPr>
      <w:rFonts w:ascii="Arial" w:hAnsi="Arial"/>
      <w:b/>
      <w:snapToGrid/>
      <w:color w:val="000000"/>
    </w:rPr>
  </w:style>
  <w:style w:type="paragraph" w:styleId="P68B1DB1-Normal7">
    <w:name w:val="P68B1DB1-Normal7"/>
    <w:basedOn w:val="Normal"/>
    <w:rPr>
      <w:rFonts w:ascii="Arial" w:hAnsi="Arial"/>
      <w:snapToGrid/>
      <w:color w:val="000000"/>
    </w:rPr>
  </w:style>
  <w:style w:type="paragraph" w:styleId="P68B1DB1-Normal8">
    <w:name w:val="P68B1DB1-Normal8"/>
    <w:basedOn w:val="Normal"/>
    <w:rPr>
      <w:rFonts w:ascii="Arial" w:hAnsi="Arial"/>
      <w:b/>
      <w:snapToGrid/>
      <w:highlight w:val="lightGray"/>
    </w:rPr>
  </w:style>
  <w:style w:type="paragraph" w:styleId="P68B1DB1-Normal9">
    <w:name w:val="P68B1DB1-Normal9"/>
    <w:basedOn w:val="Normal"/>
    <w:rPr>
      <w:rFonts w:ascii="Arial" w:hAnsi="Arial" w:cs="Arial"/>
      <w:b/>
      <w:snapToGrid/>
      <w:highlight w:val="lightGray"/>
    </w:rPr>
  </w:style>
  <w:style w:type="paragraph" w:styleId="P68B1DB1-Normal10">
    <w:name w:val="P68B1DB1-Normal10"/>
    <w:basedOn w:val="Normal"/>
    <w:rPr>
      <w:snapToGrid/>
    </w:rPr>
  </w:style>
  <w:style w:type="paragraph" w:styleId="P68B1DB1-Normal11">
    <w:name w:val="P68B1DB1-Normal11"/>
    <w:basedOn w:val="Normal"/>
    <w:rPr>
      <w:rFonts w:ascii="Arial" w:hAnsi="Arial"/>
      <w:snapToGrid/>
      <w:sz w:val="22"/>
    </w:rPr>
  </w:style>
  <w:style w:type="paragraph" w:styleId="P68B1DB1-Normal12">
    <w:name w:val="P68B1DB1-Normal12"/>
    <w:basedOn w:val="Normal"/>
    <w:rPr>
      <w:rFonts w:ascii="Arial" w:hAnsi="Arial"/>
      <w:b/>
      <w:smallCaps/>
      <w:snapToGrid/>
      <w:kern w:val="28"/>
    </w:rPr>
  </w:style>
  <w:style w:type="paragraph" w:styleId="P68B1DB1-Normal13">
    <w:name w:val="P68B1DB1-Normal13"/>
    <w:basedOn w:val="Normal"/>
    <w:rPr>
      <w:rFonts w:ascii="Arial" w:hAnsi="Arial"/>
    </w:rPr>
  </w:style>
  <w:style w:type="paragraph" w:styleId="P68B1DB1-Normal14">
    <w:name w:val="P68B1DB1-Normal14"/>
    <w:basedOn w:val="Normal"/>
    <w:rPr>
      <w:rFonts w:ascii="Arial" w:hAnsi="Arial" w:cs="Arial"/>
    </w:rPr>
  </w:style>
  <w:style w:type="paragraph" w:styleId="P68B1DB1-Normal15">
    <w:name w:val="P68B1DB1-Normal15"/>
    <w:basedOn w:val="Normal"/>
    <w:rPr>
      <w:rFonts w:ascii="Arial" w:hAnsi="Arial" w:cs="Arial"/>
      <w:snapToGrid/>
      <w:color w:val="000000"/>
    </w:rPr>
  </w:style>
  <w:style w:type="paragraph" w:styleId="P68B1DB1-Normal16">
    <w:name w:val="P68B1DB1-Normal16"/>
    <w:basedOn w:val="Normal"/>
    <w:rPr>
      <w:rFonts w:ascii="Arial" w:hAnsi="Arial" w:cs="Arial"/>
      <w:snapToGrid/>
    </w:rPr>
  </w:style>
  <w:style w:type="paragraph" w:styleId="P68B1DB1-Normal17">
    <w:name w:val="P68B1DB1-Normal17"/>
    <w:basedOn w:val="Normal"/>
    <w:rPr>
      <w:rFonts w:ascii="Arial" w:hAnsi="Arial"/>
      <w:i/>
      <w:snapToGrid/>
      <w:highlight w:val="lightGray"/>
    </w:rPr>
  </w:style>
  <w:style w:type="paragraph" w:styleId="P68B1DB1-Normal18">
    <w:name w:val="P68B1DB1-Normal18"/>
    <w:basedOn w:val="Normal"/>
    <w:rPr>
      <w:rFonts w:ascii="Arial" w:hAnsi="Arial" w:cs="Arial"/>
      <w:snapToGrid/>
      <w:kern w:val="28"/>
    </w:rPr>
  </w:style>
  <w:style w:type="paragraph" w:styleId="P68B1DB1-Normal19">
    <w:name w:val="P68B1DB1-Normal19"/>
    <w:basedOn w:val="Normal"/>
    <w:rPr>
      <w:rFonts w:ascii="Arial" w:hAnsi="Arial" w:cs="Arial"/>
      <w:b/>
      <w:sz w:val="22"/>
    </w:rPr>
  </w:style>
  <w:style w:type="paragraph" w:styleId="P68B1DB1-Normal20">
    <w:name w:val="P68B1DB1-Normal20"/>
    <w:basedOn w:val="Normal"/>
    <w:rPr>
      <w:rFonts w:ascii="Arial" w:hAnsi="Arial" w:cs="Arial"/>
      <w:b/>
      <w:highlight w:val="yellow"/>
    </w:rPr>
  </w:style>
  <w:style w:type="paragraph" w:styleId="P68B1DB1-Normal21">
    <w:name w:val="P68B1DB1-Normal21"/>
    <w:basedOn w:val="Normal"/>
    <w:rPr>
      <w:rFonts w:ascii="Arial" w:hAnsi="Arial"/>
      <w:b/>
      <w:i/>
      <w:snapToGrid/>
    </w:rPr>
  </w:style>
  <w:style w:type="paragraph" w:styleId="P68B1DB1-Normal22">
    <w:name w:val="P68B1DB1-Normal22"/>
    <w:basedOn w:val="Normal"/>
    <w:rPr>
      <w:rFonts w:ascii="Cambria" w:hAnsi="Cambria" w:cs="Arial"/>
      <w:snapToGrid/>
      <w:sz w:val="22"/>
    </w:rPr>
  </w:style>
  <w:style w:type="paragraph" w:styleId="P68B1DB1-FootnoteText23">
    <w:name w:val="P68B1DB1-FootnoteText23"/>
    <w:basedOn w:val="FootnoteText"/>
    <w:rPr>
      <w:rFonts w:cs="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ur-lex.europa.eu/legal-content/EN/TXT/?uri=CELEX%3A31996R22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2572</Words>
  <Characters>14664</Characters>
  <Application>Microsoft Office Word</Application>
  <DocSecurity>2</DocSecurity>
  <Lines>122</Lines>
  <Paragraphs>34</Paragraphs>
  <ScaleCrop>false</ScaleCrop>
  <Company/>
  <LinksUpToDate>false</LinksUpToDate>
  <CharactersWithSpaces>17202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HAULON Mathieu</cp:lastModifiedBy>
  <cp:revision>2</cp:revision>
  <dcterms:created xsi:type="dcterms:W3CDTF">2023-09-22T14:20:00Z</dcterms:created>
  <dcterms:modified xsi:type="dcterms:W3CDTF">2023-09-22T14:20:00Z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2026-03-30T14:24:12Z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82356114-3846-4daf-8a3b-90338ab005bf</vt:lpwstr>
  </property>
  <property fmtid="{D5CDD505-2E9C-101B-9397-08002B2CF9AE}" pid="8" name="MSIP_Label_9b5154d6-21c1-415b-b061-7427a4708b37_ContentBits">
    <vt:lpwstr>0</vt:lpwstr>
  </property>
</Properties>
</file>